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微软雅黑" w:hAnsi="微软雅黑" w:cs="宋体"/>
          <w:kern w:val="0"/>
          <w:sz w:val="18"/>
          <w:szCs w:val="18"/>
        </w:rPr>
      </w:pPr>
      <w:bookmarkStart w:id="0" w:name="_GoBack"/>
      <w:bookmarkEnd w:id="0"/>
      <w:r>
        <w:rPr>
          <w:rFonts w:ascii="微软雅黑" w:hAnsi="微软雅黑" w:cs="宋体"/>
          <w:kern w:val="0"/>
          <w:sz w:val="18"/>
          <w:szCs w:val="18"/>
        </w:rPr>
        <w:fldChar w:fldCharType="begin"/>
      </w:r>
      <w:r>
        <w:rPr>
          <w:rFonts w:ascii="微软雅黑" w:hAnsi="微软雅黑" w:cs="宋体"/>
          <w:kern w:val="0"/>
          <w:sz w:val="18"/>
          <w:szCs w:val="18"/>
        </w:rPr>
        <w:instrText xml:space="preserve"> INCLUDEPICTURE  "http://www.ccgp-sichuan.gov.cn/ewebeditor/uploadfile/20181120143936641001.gif" \* MERGEFORMATINET </w:instrText>
      </w:r>
      <w:r>
        <w:rPr>
          <w:rFonts w:ascii="微软雅黑" w:hAnsi="微软雅黑" w:cs="宋体"/>
          <w:kern w:val="0"/>
          <w:sz w:val="18"/>
          <w:szCs w:val="18"/>
        </w:rPr>
        <w:fldChar w:fldCharType="separate"/>
      </w:r>
      <w:r>
        <w:rPr>
          <w:rFonts w:ascii="微软雅黑" w:hAnsi="微软雅黑" w:cs="宋体"/>
          <w:kern w:val="0"/>
          <w:sz w:val="18"/>
          <w:szCs w:val="18"/>
        </w:rPr>
        <w:drawing>
          <wp:inline distT="0" distB="0" distL="114300" distR="114300">
            <wp:extent cx="4960620" cy="1590675"/>
            <wp:effectExtent l="0" t="0" r="11430" b="9525"/>
            <wp:docPr id="1" name="图片 1" descr="2018112014393664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1120143936641001"/>
                    <pic:cNvPicPr>
                      <a:picLocks noChangeAspect="1"/>
                    </pic:cNvPicPr>
                  </pic:nvPicPr>
                  <pic:blipFill>
                    <a:blip r:embed="rId4"/>
                    <a:stretch>
                      <a:fillRect/>
                    </a:stretch>
                  </pic:blipFill>
                  <pic:spPr>
                    <a:xfrm>
                      <a:off x="0" y="0"/>
                      <a:ext cx="4960620" cy="1590675"/>
                    </a:xfrm>
                    <a:prstGeom prst="rect">
                      <a:avLst/>
                    </a:prstGeom>
                    <a:noFill/>
                    <a:ln>
                      <a:noFill/>
                    </a:ln>
                  </pic:spPr>
                </pic:pic>
              </a:graphicData>
            </a:graphic>
          </wp:inline>
        </w:drawing>
      </w:r>
      <w:r>
        <w:rPr>
          <w:rFonts w:ascii="微软雅黑" w:hAnsi="微软雅黑" w:cs="宋体"/>
          <w:kern w:val="0"/>
          <w:sz w:val="18"/>
          <w:szCs w:val="18"/>
        </w:rPr>
        <w:fldChar w:fldCharType="end"/>
      </w:r>
    </w:p>
    <w:p>
      <w:pPr>
        <w:widowControl/>
        <w:shd w:val="clear" w:color="auto" w:fill="FFFFFF"/>
        <w:tabs>
          <w:tab w:val="left" w:pos="4760"/>
        </w:tabs>
        <w:spacing w:before="100" w:beforeAutospacing="1" w:after="100" w:afterAutospacing="1" w:line="440" w:lineRule="exact"/>
        <w:jc w:val="distribute"/>
        <w:outlineLvl w:val="1"/>
        <w:rPr>
          <w:rFonts w:ascii="方正小标宋简体" w:hAnsi="微软雅黑" w:eastAsia="方正小标宋简体" w:cs="宋体"/>
          <w:b/>
          <w:bCs/>
          <w:kern w:val="36"/>
          <w:sz w:val="24"/>
        </w:rPr>
      </w:pPr>
      <w:r>
        <w:rPr>
          <w:rFonts w:hint="eastAsia" w:ascii="方正小标宋简体" w:hAnsi="微软雅黑" w:eastAsia="方正小标宋简体" w:cs="宋体"/>
          <w:b/>
          <w:bCs/>
          <w:kern w:val="36"/>
          <w:sz w:val="24"/>
        </w:rPr>
        <w:t>四川省财政厅关于推进四川省政府采购供应商信用融资工作的通知</w:t>
      </w:r>
    </w:p>
    <w:p>
      <w:pPr>
        <w:tabs>
          <w:tab w:val="left" w:pos="0"/>
        </w:tabs>
        <w:spacing w:line="400" w:lineRule="exact"/>
        <w:ind w:firstLine="480" w:firstLineChars="200"/>
        <w:jc w:val="left"/>
        <w:rPr>
          <w:rFonts w:ascii="方正仿宋简体" w:eastAsia="方正仿宋简体"/>
          <w:kern w:val="0"/>
          <w:sz w:val="24"/>
        </w:rPr>
      </w:pPr>
      <w:r>
        <w:rPr>
          <w:rFonts w:hint="eastAsia"/>
          <w:sz w:val="24"/>
        </w:rPr>
        <w:t>各市</w:t>
      </w:r>
      <w:r>
        <w:rPr>
          <w:rFonts w:hint="eastAsia" w:ascii="方正仿宋简体" w:eastAsia="方正仿宋简体"/>
          <w:kern w:val="0"/>
          <w:sz w:val="24"/>
        </w:rPr>
        <w:t>（州）、扩权县（市）财政局，各省直机关、事业单位、团体组织，各金融机构，各采购代理机构，各政府采购供应商：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为贯彻落实党的十九大精神、国务院“放管服”改革决策部署、省委十一届三次全会“大力推进创新驱动发展战略”精神，助力解决政府采购成交、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一、融资概念</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二、基本原则</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（一）财政引导，市场运行</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财政部门推进“政采贷”，银行和供应商按照自愿原则参与。供应商自愿选择是否申请“政采贷”，银行依据其内部审查制度和决策程序决定是否为供应商提供融资，自担风险。</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（二）建立机制，服务银企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财政部门与银行建立“政采贷”工作机制，推动政府采购政策功能和金融资源的有机结合，拓宽银行的融资业务，助力解决政府采购成交、成交供应商资金不足、融资难、融资贵的困难，促进企业健康发展。</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（三）优质优惠，加强扶持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三、基本条件</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（一）银行暨“政采贷”金融产品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申请材料应当包括银行基本情况、“政采贷”产品名称、申请贷款条件、申请贷款方式、申请贷款程序、贷款审查流程、贷款额度、发放贷款时间、收款方式及其他优质服务和优惠承诺等。</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银行提供的“政采贷”产品应当满足“无抵押担保、程序简便、利率优惠、放款及时”的基本条件以及本通知其他相关规定。</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银行申请材料中应当载明其自愿提供“政采贷”产品，自担风险，不得要求或者变相要求财政部门和采购人为其提供风险担保、承诺。</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（二）供应商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政府采购供应商向银行申请“政采贷”，应当满足下列基本条件：</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1、具有依法承担民事责任的能力；</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2、具有依法履行政府采购合同的能力；</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3、参加的政府采购活动未被财政部门依法暂停、责令重新开展或者认定成交、成交无效；</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4、无《政府采购法》第二十二条第一款第（五）项所称的重大违法记录；</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5、未被法院、市场监管、税务、银行等部门单位纳入失信名单且在有效期内；</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6、在一定期限内的（银行可以具体确定）政府采购合同履约过程中或者其他经营活动履约过程中，无不依法履约被有关行政部门行政处罚的或者产生法律纠纷被法院、仲裁机构判决、裁决败诉的；</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7、其他银行要求的不属于提供财产抵押或第三方担保的条件。</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四、构建平台</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四川省财政厅将在四川政府采购网统一构建四川省“政采贷”信息化服务平台，推进四川省“政采贷”工作信息化建设。</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五、财金互动</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各级财政部门应当按照《四川省政府采购促进中小企业发展的若干规定》（川财采[2016]35号）等有关规定，对金融机构向小微企业提供“政采贷”贷款产生的损失，纳入财政金融互动政策范围给予风险补贴。</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六、基本流程</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（一）意向申请</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有融资需求的供应商可根据四川政府采购网公示的银行及其“政采贷”产品，自行选择符合自身情况的“政采贷”银行及其产品，凭成交（成交）通知书向银行提出贷款意向申请。银行应及时按照有关规定完成对供应商的信用审查以及开设账户等相关工作。</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（二）正式申请</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（三）贷款审查</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（四）信息报送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（五）资金支付</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政府采购资金支付时，采购人必须将采购资金支付到政府采购合同中注明的贷款银行名称及账号，以保障贷款资金的安全回收。采购人不得将采购资金支付在政府采购合同约定以外的收款账号。</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政府采购资金支付过程中，银行需要查询采购资金支付进程有关信息的，财政部门和采购人应当支持。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七、职责要求</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 xml:space="preserve">（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 </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三）采购人应当积极支持“政采贷”工作，对于银行、供应商提出的合理需求，应当支持。对于已融资采购项目，供应商履约完成后，要及时开展履约验收工作，及时支付采购资金，不得无故拖延和拒付采购资金。</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（四）采购代理机构在组织实施政府采购活动中，应当采取有效方式，向供应商宣传“政采贷”政策。银行需要借用采购代理机构的场所直接向供应商介绍其“政采贷”产品的，采购代理机构应当支持。</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（五）供应商应当依法参加政府采购活动，公平竞争，诚实守信，严格按照政府采购合同履约，严格按照借款合同偿还债务。</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（六）财政部门、采购人、采购代理机构及其他有关单位和个人不得违规干预供应商选择“政采贷”银行及其产品，也不得违规干预银行向供应商进行贷款。</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（七）相关单位和个人在开展“政采贷”工作过程中，发现新问题、新情况或者有意见建议的，请及时向四川省财政厅反馈。</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八、违规处理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（一）银行违规处理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（二）供应商违规处理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（三）其他违规处理</w:t>
      </w:r>
    </w:p>
    <w:p>
      <w:pPr>
        <w:widowControl/>
        <w:shd w:val="clear" w:color="auto" w:fill="FFFFFF"/>
        <w:tabs>
          <w:tab w:val="left" w:pos="4760"/>
        </w:tabs>
        <w:spacing w:line="440" w:lineRule="exact"/>
        <w:ind w:firstLine="628"/>
        <w:jc w:val="left"/>
        <w:rPr>
          <w:rFonts w:ascii="方正仿宋简体" w:eastAsia="方正仿宋简体"/>
          <w:kern w:val="0"/>
          <w:sz w:val="24"/>
        </w:rPr>
      </w:pPr>
      <w:r>
        <w:rPr>
          <w:rFonts w:hint="eastAsia" w:ascii="方正仿宋简体" w:eastAsia="方正仿宋简体"/>
          <w:kern w:val="0"/>
          <w:sz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r>
        <w:br w:type="page"/>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ZjAzZWYwOTlmZTcwZGIxNWM3MzVhNDk4MWMzZGIifQ=="/>
  </w:docVars>
  <w:rsids>
    <w:rsidRoot w:val="75A335A8"/>
    <w:rsid w:val="5CD2341F"/>
    <w:rsid w:val="75A3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ascii="金山简黑体" w:hAnsi="Courier New" w:eastAsia="金山简黑体" w:cs="Times New Roman"/>
      <w:b/>
      <w:spacing w:val="-8"/>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3515</Words>
  <Characters>3533</Characters>
  <Lines>0</Lines>
  <Paragraphs>0</Paragraphs>
  <TotalTime>1</TotalTime>
  <ScaleCrop>false</ScaleCrop>
  <LinksUpToDate>false</LinksUpToDate>
  <CharactersWithSpaces>3534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2022-07-22T08:33:00Z</dcterms:created>
  <dc:creator>柒</dc:creator>
  <cp:lastModifiedBy>66330</cp:lastModifiedBy>
  <dcterms:modified xsi:type="dcterms:W3CDTF">2022-08-18T06:50:24Z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BA7386B9208544C3BEFB87EA92ED9EFC</vt:lpwstr>
  </property>
</Properties>
</file>