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rPr>
          <w:rFonts w:hint="eastAsia" w:ascii="仿宋" w:hAnsi="仿宋" w:eastAsia="仿宋" w:cs="仿宋"/>
          <w:bCs w:val="0"/>
          <w:sz w:val="40"/>
          <w:szCs w:val="36"/>
        </w:rPr>
      </w:pPr>
      <w:r>
        <w:rPr>
          <w:rFonts w:hint="eastAsia" w:ascii="仿宋" w:hAnsi="仿宋" w:eastAsia="仿宋" w:cs="仿宋"/>
          <w:sz w:val="40"/>
          <w:szCs w:val="36"/>
        </w:rPr>
        <w:t>采购需求及其技术、服务及其他要求</w:t>
      </w:r>
    </w:p>
    <w:p>
      <w:pPr>
        <w:spacing w:line="360" w:lineRule="auto"/>
        <w:ind w:firstLine="643" w:firstLineChars="200"/>
        <w:outlineLvl w:val="1"/>
        <w:rPr>
          <w:rFonts w:hint="eastAsia" w:ascii="仿宋" w:hAnsi="仿宋" w:eastAsia="仿宋" w:cs="仿宋"/>
          <w:sz w:val="32"/>
          <w:szCs w:val="28"/>
        </w:rPr>
      </w:pPr>
      <w:bookmarkStart w:id="0" w:name="_Toc256000073"/>
      <w:bookmarkStart w:id="1" w:name="_Toc256000026"/>
      <w:r>
        <w:rPr>
          <w:rFonts w:hint="eastAsia" w:ascii="仿宋" w:hAnsi="仿宋" w:eastAsia="仿宋" w:cs="仿宋"/>
          <w:b/>
          <w:bCs/>
          <w:sz w:val="32"/>
          <w:szCs w:val="28"/>
        </w:rPr>
        <w:t>一、采购需求</w:t>
      </w:r>
      <w:bookmarkEnd w:id="0"/>
      <w:bookmarkEnd w:id="1"/>
    </w:p>
    <w:p>
      <w:pPr>
        <w:spacing w:line="360" w:lineRule="auto"/>
        <w:ind w:firstLine="562" w:firstLineChars="200"/>
        <w:rPr>
          <w:rFonts w:hint="eastAsia" w:ascii="仿宋" w:hAnsi="仿宋" w:eastAsia="仿宋" w:cs="仿宋"/>
          <w:b/>
          <w:bCs/>
          <w:sz w:val="28"/>
        </w:rPr>
      </w:pPr>
      <w:r>
        <w:rPr>
          <w:rFonts w:hint="eastAsia" w:ascii="仿宋" w:hAnsi="仿宋" w:eastAsia="仿宋" w:cs="仿宋"/>
          <w:b/>
          <w:bCs/>
          <w:sz w:val="28"/>
        </w:rPr>
        <w:t>（一）项目概述</w:t>
      </w:r>
    </w:p>
    <w:p>
      <w:pPr>
        <w:spacing w:line="360" w:lineRule="auto"/>
        <w:ind w:firstLine="560" w:firstLineChars="200"/>
        <w:rPr>
          <w:rFonts w:hint="eastAsia" w:ascii="仿宋" w:hAnsi="仿宋" w:eastAsia="仿宋" w:cs="仿宋"/>
          <w:sz w:val="28"/>
        </w:rPr>
      </w:pPr>
      <w:bookmarkStart w:id="2" w:name="【Bobole_其他信息_XMJJ】"/>
      <w:r>
        <w:rPr>
          <w:rFonts w:hint="eastAsia" w:ascii="仿宋" w:hAnsi="仿宋" w:eastAsia="仿宋" w:cs="仿宋"/>
          <w:sz w:val="28"/>
        </w:rPr>
        <w:t>本项目采购内容为：尿素，数量：100吨，采购预算金额为35万元，最高限价为35万元，采购预算包括：货物成本、包装、装卸费、运杂费、检测、仓储费、税费、发放费、技术培训等直至项目验收所需的一切费用，投标人报价超过最高限价视为无效报价。</w:t>
      </w:r>
      <w:bookmarkEnd w:id="2"/>
    </w:p>
    <w:p>
      <w:pPr>
        <w:spacing w:line="360" w:lineRule="auto"/>
        <w:ind w:firstLine="562" w:firstLineChars="200"/>
        <w:rPr>
          <w:rFonts w:hint="eastAsia" w:ascii="仿宋" w:hAnsi="仿宋" w:eastAsia="仿宋" w:cs="仿宋"/>
          <w:b/>
          <w:bCs/>
          <w:sz w:val="28"/>
        </w:rPr>
      </w:pPr>
      <w:r>
        <w:rPr>
          <w:rFonts w:hint="eastAsia" w:ascii="仿宋" w:hAnsi="仿宋" w:eastAsia="仿宋" w:cs="仿宋"/>
          <w:b/>
          <w:bCs/>
          <w:sz w:val="28"/>
        </w:rPr>
        <w:t>（二）采购内容清单</w:t>
      </w:r>
    </w:p>
    <w:p>
      <w:pPr>
        <w:snapToGrid w:val="0"/>
        <w:ind w:firstLine="560" w:firstLineChars="200"/>
        <w:rPr>
          <w:rFonts w:hint="eastAsia" w:ascii="仿宋" w:hAnsi="仿宋" w:eastAsia="仿宋" w:cs="仿宋"/>
          <w:sz w:val="28"/>
          <w:szCs w:val="28"/>
          <w:lang w:val="zh-CN"/>
        </w:rPr>
      </w:pPr>
      <w:bookmarkStart w:id="3" w:name="【bobole_采购清单表格】"/>
      <w:r>
        <w:rPr>
          <w:rFonts w:hint="eastAsia" w:ascii="仿宋" w:hAnsi="仿宋" w:eastAsia="仿宋" w:cs="仿宋"/>
          <w:sz w:val="28"/>
          <w:szCs w:val="28"/>
          <w:lang w:val="zh-CN"/>
        </w:rPr>
        <w:t xml:space="preserve"> </w:t>
      </w:r>
      <w:r>
        <w:rPr>
          <w:rFonts w:hint="eastAsia" w:ascii="仿宋" w:hAnsi="仿宋" w:eastAsia="仿宋" w:cs="仿宋"/>
          <w:b w:val="0"/>
          <w:sz w:val="24"/>
          <w:szCs w:val="28"/>
          <w:lang w:val="zh-CN"/>
        </w:rPr>
        <w:t xml:space="preserve">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841"/>
        <w:gridCol w:w="142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 w:type="pct"/>
            <w:shd w:val="clear" w:color="auto" w:fill="FFFFFF"/>
            <w:vAlign w:val="center"/>
          </w:tcPr>
          <w:p>
            <w:pPr>
              <w:snapToGrid w:val="0"/>
              <w:ind w:firstLine="482" w:firstLineChars="200"/>
              <w:jc w:val="center"/>
              <w:rPr>
                <w:rFonts w:hint="eastAsia" w:ascii="仿宋" w:hAnsi="仿宋" w:eastAsia="仿宋" w:cs="仿宋"/>
                <w:b/>
                <w:sz w:val="24"/>
                <w:szCs w:val="28"/>
                <w:lang w:val="zh-CN"/>
              </w:rPr>
            </w:pPr>
            <w:r>
              <w:rPr>
                <w:rFonts w:hint="eastAsia" w:ascii="仿宋" w:hAnsi="仿宋" w:eastAsia="仿宋" w:cs="仿宋"/>
                <w:b/>
                <w:sz w:val="24"/>
                <w:szCs w:val="28"/>
                <w:lang w:val="zh-CN"/>
              </w:rPr>
              <w:t>序号</w:t>
            </w:r>
          </w:p>
        </w:tc>
        <w:tc>
          <w:tcPr>
            <w:tcW w:w="200" w:type="pct"/>
            <w:shd w:val="clear" w:color="auto" w:fill="FFFFFF"/>
            <w:vAlign w:val="center"/>
          </w:tcPr>
          <w:p>
            <w:pPr>
              <w:snapToGrid w:val="0"/>
              <w:ind w:firstLine="482" w:firstLineChars="200"/>
              <w:jc w:val="center"/>
              <w:rPr>
                <w:rFonts w:hint="eastAsia" w:ascii="仿宋" w:hAnsi="仿宋" w:eastAsia="仿宋" w:cs="仿宋"/>
                <w:b/>
                <w:sz w:val="24"/>
                <w:szCs w:val="28"/>
                <w:lang w:val="zh-CN"/>
              </w:rPr>
            </w:pPr>
            <w:r>
              <w:rPr>
                <w:rFonts w:hint="eastAsia" w:ascii="仿宋" w:hAnsi="仿宋" w:eastAsia="仿宋" w:cs="仿宋"/>
                <w:b/>
                <w:sz w:val="24"/>
                <w:szCs w:val="28"/>
                <w:lang w:val="zh-CN"/>
              </w:rPr>
              <w:t>采购内容</w:t>
            </w:r>
          </w:p>
        </w:tc>
        <w:tc>
          <w:tcPr>
            <w:tcW w:w="100" w:type="pct"/>
            <w:shd w:val="clear" w:color="auto" w:fill="FFFFFF"/>
            <w:vAlign w:val="center"/>
          </w:tcPr>
          <w:p>
            <w:pPr>
              <w:snapToGrid w:val="0"/>
              <w:ind w:firstLine="482" w:firstLineChars="200"/>
              <w:jc w:val="center"/>
              <w:rPr>
                <w:rFonts w:hint="eastAsia" w:ascii="仿宋" w:hAnsi="仿宋" w:eastAsia="仿宋" w:cs="仿宋"/>
                <w:b/>
                <w:sz w:val="24"/>
                <w:szCs w:val="28"/>
                <w:lang w:val="zh-CN"/>
              </w:rPr>
            </w:pPr>
            <w:r>
              <w:rPr>
                <w:rFonts w:hint="eastAsia" w:ascii="仿宋" w:hAnsi="仿宋" w:eastAsia="仿宋" w:cs="仿宋"/>
                <w:b/>
                <w:sz w:val="24"/>
                <w:szCs w:val="28"/>
                <w:lang w:val="zh-CN"/>
              </w:rPr>
              <w:t>数量</w:t>
            </w:r>
          </w:p>
        </w:tc>
        <w:tc>
          <w:tcPr>
            <w:tcW w:w="200" w:type="pct"/>
            <w:shd w:val="clear" w:color="auto" w:fill="FFFFFF"/>
            <w:vAlign w:val="center"/>
          </w:tcPr>
          <w:p>
            <w:pPr>
              <w:snapToGrid w:val="0"/>
              <w:ind w:firstLine="482" w:firstLineChars="200"/>
              <w:jc w:val="center"/>
              <w:rPr>
                <w:rFonts w:hint="eastAsia" w:ascii="仿宋" w:hAnsi="仿宋" w:eastAsia="仿宋" w:cs="仿宋"/>
                <w:b w:val="0"/>
                <w:sz w:val="24"/>
                <w:szCs w:val="28"/>
                <w:lang w:val="zh-CN"/>
              </w:rPr>
            </w:pPr>
            <w:r>
              <w:rPr>
                <w:rFonts w:hint="eastAsia" w:ascii="仿宋" w:hAnsi="仿宋" w:eastAsia="仿宋" w:cs="仿宋"/>
                <w:b/>
                <w:sz w:val="24"/>
                <w:szCs w:val="28"/>
                <w:lang w:val="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 w:type="pct"/>
            <w:shd w:val="clear" w:color="auto" w:fill="FFFFFF"/>
            <w:vAlign w:val="center"/>
          </w:tcPr>
          <w:p>
            <w:pPr>
              <w:snapToGrid w:val="0"/>
              <w:ind w:firstLine="480" w:firstLineChars="200"/>
              <w:jc w:val="left"/>
              <w:rPr>
                <w:rFonts w:hint="eastAsia" w:ascii="仿宋" w:hAnsi="仿宋" w:eastAsia="仿宋" w:cs="仿宋"/>
                <w:b w:val="0"/>
                <w:sz w:val="24"/>
                <w:szCs w:val="28"/>
                <w:lang w:val="zh-CN"/>
              </w:rPr>
            </w:pPr>
            <w:r>
              <w:rPr>
                <w:rFonts w:hint="eastAsia" w:ascii="仿宋" w:hAnsi="仿宋" w:eastAsia="仿宋" w:cs="仿宋"/>
                <w:b w:val="0"/>
                <w:sz w:val="24"/>
                <w:szCs w:val="28"/>
                <w:lang w:val="zh-CN"/>
              </w:rPr>
              <w:t>1</w:t>
            </w:r>
          </w:p>
        </w:tc>
        <w:tc>
          <w:tcPr>
            <w:tcW w:w="200" w:type="pct"/>
            <w:shd w:val="clear" w:color="auto" w:fill="FFFFFF"/>
            <w:vAlign w:val="center"/>
          </w:tcPr>
          <w:p>
            <w:pPr>
              <w:snapToGrid w:val="0"/>
              <w:ind w:firstLine="480" w:firstLineChars="200"/>
              <w:jc w:val="left"/>
              <w:rPr>
                <w:rFonts w:hint="eastAsia" w:ascii="仿宋" w:hAnsi="仿宋" w:eastAsia="仿宋" w:cs="仿宋"/>
                <w:b w:val="0"/>
                <w:sz w:val="24"/>
                <w:szCs w:val="28"/>
                <w:lang w:val="zh-CN"/>
              </w:rPr>
            </w:pPr>
            <w:r>
              <w:rPr>
                <w:rFonts w:hint="eastAsia" w:ascii="仿宋" w:hAnsi="仿宋" w:eastAsia="仿宋" w:cs="仿宋"/>
                <w:b w:val="0"/>
                <w:sz w:val="24"/>
                <w:szCs w:val="28"/>
                <w:lang w:val="zh-CN"/>
              </w:rPr>
              <w:t>尿素</w:t>
            </w:r>
          </w:p>
        </w:tc>
        <w:tc>
          <w:tcPr>
            <w:tcW w:w="100" w:type="pct"/>
            <w:shd w:val="clear" w:color="auto" w:fill="FFFFFF"/>
            <w:vAlign w:val="center"/>
          </w:tcPr>
          <w:p>
            <w:pPr>
              <w:snapToGrid w:val="0"/>
              <w:ind w:firstLine="480" w:firstLineChars="200"/>
              <w:jc w:val="left"/>
              <w:rPr>
                <w:rFonts w:hint="eastAsia" w:ascii="仿宋" w:hAnsi="仿宋" w:eastAsia="仿宋" w:cs="仿宋"/>
                <w:b w:val="0"/>
                <w:sz w:val="24"/>
                <w:szCs w:val="28"/>
                <w:lang w:val="zh-CN"/>
              </w:rPr>
            </w:pPr>
            <w:r>
              <w:rPr>
                <w:rFonts w:hint="eastAsia" w:ascii="仿宋" w:hAnsi="仿宋" w:eastAsia="仿宋" w:cs="仿宋"/>
                <w:b w:val="0"/>
                <w:sz w:val="24"/>
                <w:szCs w:val="28"/>
                <w:lang w:val="zh-CN"/>
              </w:rPr>
              <w:t>100吨</w:t>
            </w:r>
          </w:p>
        </w:tc>
        <w:tc>
          <w:tcPr>
            <w:tcW w:w="200" w:type="pct"/>
            <w:shd w:val="clear" w:color="auto" w:fill="FFFFFF"/>
            <w:vAlign w:val="center"/>
          </w:tcPr>
          <w:p>
            <w:pPr>
              <w:snapToGrid w:val="0"/>
              <w:ind w:firstLine="480" w:firstLineChars="200"/>
              <w:jc w:val="left"/>
              <w:rPr>
                <w:rFonts w:hint="eastAsia" w:ascii="仿宋" w:hAnsi="仿宋" w:eastAsia="仿宋" w:cs="仿宋"/>
                <w:b w:val="0"/>
                <w:sz w:val="24"/>
                <w:szCs w:val="28"/>
                <w:lang w:val="zh-CN"/>
              </w:rPr>
            </w:pPr>
            <w:r>
              <w:rPr>
                <w:rFonts w:hint="eastAsia" w:ascii="仿宋" w:hAnsi="仿宋" w:eastAsia="仿宋" w:cs="仿宋"/>
                <w:b w:val="0"/>
                <w:sz w:val="24"/>
                <w:szCs w:val="28"/>
                <w:lang w:val="zh-CN"/>
              </w:rPr>
              <w:t>是</w:t>
            </w:r>
          </w:p>
        </w:tc>
      </w:tr>
      <w:bookmarkEnd w:id="3"/>
    </w:tbl>
    <w:p>
      <w:pPr>
        <w:rPr>
          <w:rFonts w:hint="eastAsia" w:ascii="仿宋" w:hAnsi="仿宋" w:eastAsia="仿宋" w:cs="仿宋"/>
        </w:rPr>
      </w:pPr>
    </w:p>
    <w:p>
      <w:pPr>
        <w:autoSpaceDE w:val="0"/>
        <w:autoSpaceDN w:val="0"/>
        <w:spacing w:line="360" w:lineRule="auto"/>
        <w:rPr>
          <w:rFonts w:hint="eastAsia" w:ascii="仿宋" w:hAnsi="仿宋" w:eastAsia="仿宋" w:cs="仿宋"/>
          <w:b/>
          <w:bCs/>
          <w:sz w:val="28"/>
          <w:lang w:val="zh-CN"/>
        </w:rPr>
      </w:pPr>
      <w:r>
        <w:rPr>
          <w:rFonts w:hint="eastAsia" w:ascii="仿宋" w:hAnsi="仿宋" w:eastAsia="仿宋" w:cs="仿宋"/>
          <w:b/>
          <w:bCs/>
          <w:sz w:val="28"/>
          <w:lang w:val="zh-CN"/>
        </w:rPr>
        <w:t>注：按照《关于印发中小企业划型标准规定的通知》（工信部联企业〔2011〕300号），本项目采购内容所属行业为“</w:t>
      </w:r>
      <w:r>
        <w:rPr>
          <w:rFonts w:hint="eastAsia" w:ascii="仿宋" w:hAnsi="仿宋" w:eastAsia="仿宋" w:cs="仿宋"/>
          <w:b/>
          <w:bCs/>
          <w:sz w:val="28"/>
          <w:lang w:eastAsia="zh-CN"/>
        </w:rPr>
        <w:t>工业</w:t>
      </w:r>
      <w:r>
        <w:rPr>
          <w:rFonts w:hint="eastAsia" w:ascii="仿宋" w:hAnsi="仿宋" w:eastAsia="仿宋" w:cs="仿宋"/>
          <w:b/>
          <w:bCs/>
          <w:sz w:val="28"/>
          <w:lang w:val="zh-CN"/>
        </w:rPr>
        <w:t>”。</w:t>
      </w:r>
    </w:p>
    <w:p>
      <w:pPr>
        <w:autoSpaceDE w:val="0"/>
        <w:autoSpaceDN w:val="0"/>
        <w:spacing w:line="520" w:lineRule="exact"/>
        <w:ind w:firstLine="548" w:firstLineChars="196"/>
        <w:rPr>
          <w:rFonts w:hint="eastAsia" w:ascii="仿宋" w:hAnsi="仿宋" w:eastAsia="仿宋" w:cs="仿宋"/>
          <w:b/>
          <w:bCs/>
          <w:sz w:val="28"/>
          <w:szCs w:val="24"/>
          <w:lang w:val="zh-CN"/>
        </w:rPr>
      </w:pPr>
      <w:r>
        <w:rPr>
          <w:rFonts w:hint="eastAsia" w:ascii="仿宋" w:hAnsi="仿宋" w:eastAsia="仿宋" w:cs="仿宋"/>
          <w:sz w:val="28"/>
        </w:rPr>
        <w:t xml:space="preserve"> </w:t>
      </w:r>
      <w:r>
        <w:rPr>
          <w:rFonts w:hint="eastAsia" w:ascii="仿宋" w:hAnsi="仿宋" w:eastAsia="仿宋" w:cs="仿宋"/>
          <w:b/>
          <w:bCs/>
          <w:sz w:val="32"/>
          <w:szCs w:val="28"/>
        </w:rPr>
        <w:t xml:space="preserve"> </w:t>
      </w:r>
      <w:r>
        <w:rPr>
          <w:rFonts w:hint="eastAsia" w:ascii="仿宋" w:hAnsi="仿宋" w:eastAsia="仿宋" w:cs="仿宋"/>
          <w:b/>
          <w:bCs/>
          <w:sz w:val="32"/>
          <w:szCs w:val="28"/>
          <w:lang w:val="zh-CN"/>
        </w:rPr>
        <w:t>二、技术和服务要求</w:t>
      </w:r>
    </w:p>
    <w:p>
      <w:pPr>
        <w:suppressAutoHyphens/>
        <w:spacing w:after="120"/>
        <w:ind w:firstLine="560" w:firstLineChars="200"/>
        <w:rPr>
          <w:rFonts w:hint="eastAsia" w:ascii="仿宋" w:hAnsi="仿宋" w:eastAsia="仿宋" w:cs="仿宋"/>
          <w:sz w:val="28"/>
          <w:szCs w:val="28"/>
        </w:rPr>
      </w:pPr>
      <w:r>
        <w:rPr>
          <w:rFonts w:hint="eastAsia" w:ascii="仿宋" w:hAnsi="仿宋" w:eastAsia="仿宋" w:cs="仿宋"/>
          <w:sz w:val="28"/>
          <w:szCs w:val="28"/>
        </w:rPr>
        <w:t>（1）含氮量≥46%，水分含量≤1%；</w:t>
      </w:r>
    </w:p>
    <w:p>
      <w:pPr>
        <w:suppressAutoHyphens/>
        <w:spacing w:after="120"/>
        <w:ind w:firstLine="560" w:firstLineChars="200"/>
        <w:rPr>
          <w:rFonts w:hint="eastAsia" w:ascii="仿宋" w:hAnsi="仿宋" w:eastAsia="仿宋" w:cs="仿宋"/>
          <w:sz w:val="28"/>
          <w:szCs w:val="28"/>
        </w:rPr>
      </w:pPr>
      <w:r>
        <w:rPr>
          <w:rFonts w:hint="eastAsia" w:ascii="仿宋" w:hAnsi="仿宋" w:eastAsia="仿宋" w:cs="仿宋"/>
          <w:sz w:val="28"/>
          <w:szCs w:val="28"/>
        </w:rPr>
        <w:t>（2）产品质量：符合GB/T2440-2017《尿素》标准；</w:t>
      </w:r>
    </w:p>
    <w:p>
      <w:pPr>
        <w:suppressAutoHyphens/>
        <w:spacing w:after="120"/>
        <w:ind w:firstLine="560" w:firstLineChars="200"/>
        <w:rPr>
          <w:rFonts w:hint="eastAsia" w:ascii="仿宋" w:hAnsi="仿宋" w:eastAsia="仿宋" w:cs="仿宋"/>
        </w:rPr>
      </w:pPr>
      <w:r>
        <w:rPr>
          <w:rFonts w:hint="eastAsia" w:ascii="仿宋" w:hAnsi="仿宋" w:eastAsia="仿宋" w:cs="仿宋"/>
          <w:sz w:val="28"/>
          <w:szCs w:val="28"/>
        </w:rPr>
        <w:t>（3）包装规格：40公斤/袋。</w:t>
      </w:r>
    </w:p>
    <w:p>
      <w:pPr>
        <w:autoSpaceDE w:val="0"/>
        <w:autoSpaceDN w:val="0"/>
        <w:spacing w:line="520" w:lineRule="exact"/>
        <w:ind w:firstLine="630" w:firstLineChars="196"/>
        <w:rPr>
          <w:rFonts w:hint="eastAsia" w:ascii="仿宋" w:hAnsi="仿宋" w:eastAsia="仿宋" w:cs="仿宋"/>
          <w:b/>
          <w:bCs/>
          <w:sz w:val="32"/>
          <w:szCs w:val="28"/>
          <w:lang w:val="zh-CN"/>
        </w:rPr>
      </w:pPr>
      <w:r>
        <w:rPr>
          <w:rFonts w:hint="eastAsia" w:ascii="仿宋" w:hAnsi="仿宋" w:eastAsia="仿宋" w:cs="仿宋"/>
          <w:b/>
          <w:bCs/>
          <w:sz w:val="32"/>
          <w:szCs w:val="28"/>
        </w:rPr>
        <w:t xml:space="preserve"> </w:t>
      </w:r>
      <w:r>
        <w:rPr>
          <w:rFonts w:hint="eastAsia" w:ascii="仿宋" w:hAnsi="仿宋" w:eastAsia="仿宋" w:cs="仿宋"/>
          <w:b/>
          <w:bCs/>
          <w:sz w:val="32"/>
          <w:szCs w:val="28"/>
          <w:lang w:val="zh-CN"/>
        </w:rPr>
        <w:t>三、商务要求</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1、供货时间及地点</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1.1供货时间：自合同签订之日起7个工作日内完成供货；</w:t>
      </w:r>
    </w:p>
    <w:p>
      <w:pPr>
        <w:spacing w:line="360" w:lineRule="auto"/>
        <w:rPr>
          <w:rFonts w:hint="eastAsia" w:ascii="仿宋" w:hAnsi="仿宋" w:eastAsia="仿宋" w:cs="仿宋"/>
          <w:bCs/>
          <w:sz w:val="28"/>
          <w:szCs w:val="28"/>
        </w:rPr>
      </w:pPr>
      <w:r>
        <w:rPr>
          <w:rFonts w:hint="eastAsia" w:ascii="仿宋" w:hAnsi="仿宋" w:eastAsia="仿宋" w:cs="仿宋"/>
          <w:bCs/>
          <w:sz w:val="28"/>
          <w:szCs w:val="28"/>
        </w:rPr>
        <w:t xml:space="preserve">    1.2供货地点：送货到采购人指定的乡镇。</w:t>
      </w:r>
    </w:p>
    <w:p>
      <w:pPr>
        <w:spacing w:line="360" w:lineRule="auto"/>
        <w:ind w:firstLine="562" w:firstLineChars="200"/>
        <w:rPr>
          <w:rFonts w:hint="eastAsia" w:ascii="仿宋" w:hAnsi="仿宋" w:eastAsia="仿宋" w:cs="仿宋"/>
          <w:b/>
          <w:sz w:val="28"/>
          <w:szCs w:val="28"/>
        </w:rPr>
      </w:pP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2、资金支付</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2.1预付款支付比例：合同签订后7个工作日内支付10%；</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2.2剩余款项支付：供货完成验收合格后支付85%，余款5%作为质量保证金，质保期满后7个工作日内一次性付清。</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3、质量要求：</w:t>
      </w:r>
      <w:r>
        <w:rPr>
          <w:rFonts w:hint="eastAsia" w:ascii="仿宋" w:hAnsi="仿宋" w:eastAsia="仿宋" w:cs="仿宋"/>
          <w:bCs/>
          <w:sz w:val="28"/>
          <w:szCs w:val="28"/>
        </w:rPr>
        <w:t>以上产品必须符合国家现行行业标准。</w:t>
      </w:r>
    </w:p>
    <w:p>
      <w:pPr>
        <w:spacing w:line="360" w:lineRule="auto"/>
        <w:ind w:firstLine="562" w:firstLineChars="200"/>
        <w:rPr>
          <w:rFonts w:hint="eastAsia" w:ascii="仿宋" w:hAnsi="仿宋" w:eastAsia="仿宋" w:cs="仿宋"/>
          <w:bCs/>
          <w:sz w:val="28"/>
          <w:szCs w:val="28"/>
        </w:rPr>
      </w:pPr>
      <w:r>
        <w:rPr>
          <w:rFonts w:hint="eastAsia" w:ascii="仿宋" w:hAnsi="仿宋" w:eastAsia="仿宋" w:cs="仿宋"/>
          <w:b/>
          <w:sz w:val="28"/>
          <w:szCs w:val="28"/>
        </w:rPr>
        <w:t xml:space="preserve">4、质保期 </w:t>
      </w:r>
      <w:r>
        <w:rPr>
          <w:rFonts w:hint="eastAsia" w:ascii="仿宋" w:hAnsi="仿宋" w:eastAsia="仿宋" w:cs="仿宋"/>
          <w:bCs/>
          <w:sz w:val="28"/>
          <w:szCs w:val="28"/>
        </w:rPr>
        <w:t xml:space="preserve">  </w:t>
      </w:r>
    </w:p>
    <w:p>
      <w:pPr>
        <w:spacing w:line="360" w:lineRule="auto"/>
        <w:ind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质保期不低于6个月。  </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5、售后服务</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5.1成交供应商需指派专人免费提供技术培训；</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5.2成交供应商需提供售后服务方案；</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5.3投标供应商所提供的产品若出现质量问题，须在2日内更换合格的产品</w:t>
      </w:r>
      <w:r>
        <w:rPr>
          <w:rFonts w:hint="eastAsia" w:ascii="仿宋" w:hAnsi="仿宋" w:eastAsia="仿宋" w:cs="仿宋"/>
          <w:b/>
          <w:sz w:val="28"/>
          <w:szCs w:val="28"/>
        </w:rPr>
        <w:t>（提供承诺函，格式自拟）；</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5.4投标供应商提供的产品应符合询价文件要求，产品必须具备质量检验合格证和使用说明书，以确保采购人能正确使用产品</w:t>
      </w:r>
      <w:r>
        <w:rPr>
          <w:rFonts w:hint="eastAsia" w:ascii="仿宋" w:hAnsi="仿宋" w:eastAsia="仿宋" w:cs="仿宋"/>
          <w:b/>
          <w:sz w:val="28"/>
          <w:szCs w:val="28"/>
        </w:rPr>
        <w:t>（提供承诺函，格式自拟）。</w:t>
      </w:r>
    </w:p>
    <w:p>
      <w:pPr>
        <w:spacing w:after="120" w:line="360" w:lineRule="auto"/>
        <w:ind w:firstLine="562" w:firstLineChars="200"/>
        <w:textAlignment w:val="baseline"/>
        <w:rPr>
          <w:rFonts w:hint="eastAsia" w:ascii="仿宋" w:hAnsi="仿宋" w:eastAsia="仿宋" w:cs="仿宋"/>
          <w:b/>
          <w:sz w:val="28"/>
          <w:szCs w:val="28"/>
        </w:rPr>
      </w:pPr>
      <w:r>
        <w:rPr>
          <w:rFonts w:hint="eastAsia" w:ascii="仿宋" w:hAnsi="仿宋" w:eastAsia="仿宋" w:cs="仿宋"/>
          <w:b/>
          <w:sz w:val="28"/>
          <w:szCs w:val="28"/>
        </w:rPr>
        <w:t>6、验收标准和方法</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6.1成交供应商与采购人应严格按照《财政部关于进一步加强政府采购需求和履约验收管理的指导意见》（财库〔2016〕205 号）、《政府采购需求管理办法》（财库〔2021〕22号）的要求进行验收。</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6.2验收由采购人组织，在成交供应商将货物运到目的地下车时按抽样标准采取随机抽样法，对产品的数量、规格、包装标识等进行实地验收。</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6.3采购人将委托农业执法单位或第三方检测机构对所供产品进行现场抽样、送检。检测费用由成交供应商承担，并由此承担违约责任</w:t>
      </w:r>
      <w:r>
        <w:rPr>
          <w:rFonts w:hint="eastAsia" w:ascii="仿宋" w:hAnsi="仿宋" w:eastAsia="仿宋" w:cs="仿宋"/>
          <w:b/>
          <w:sz w:val="28"/>
          <w:szCs w:val="28"/>
        </w:rPr>
        <w:t>（提供承诺函，格式自拟）。</w:t>
      </w:r>
    </w:p>
    <w:p>
      <w:pPr>
        <w:spacing w:line="360" w:lineRule="auto"/>
        <w:ind w:right="366" w:firstLine="562" w:firstLineChars="200"/>
        <w:rPr>
          <w:rFonts w:hint="eastAsia" w:ascii="仿宋" w:hAnsi="仿宋" w:eastAsia="仿宋" w:cs="仿宋"/>
          <w:b/>
          <w:sz w:val="28"/>
          <w:szCs w:val="28"/>
        </w:rPr>
      </w:pPr>
      <w:r>
        <w:rPr>
          <w:rFonts w:hint="eastAsia" w:ascii="仿宋" w:hAnsi="仿宋" w:eastAsia="仿宋" w:cs="仿宋"/>
          <w:b/>
          <w:sz w:val="28"/>
          <w:szCs w:val="28"/>
        </w:rPr>
        <w:t>7、违约责任</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7.1确因政策原因，成交供应商延期交货须取得采购人书面同意。未取得同意，每延迟交货 1 天收取合同总额千分之一的违约金，若造成重大损失的按相法律法规处理。</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7.2若验收过程中发现数量、质量、规格等与投标文件不符，视为成交供应商根本违约,成交供应商承担由此造成经济损失和法律责任。</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DczNzEzMTFhMzQxMzAzYmYyOTJiOTRhYjY2NDkifQ=="/>
  </w:docVars>
  <w:rsids>
    <w:rsidRoot w:val="1E7603EC"/>
    <w:rsid w:val="1E76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仿宋" w:cs="Times New Roman"/>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rPr>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2023-05-04T07:28:00Z</dcterms:created>
  <dc:creator>。</dc:creator>
  <cp:lastModifiedBy>。</cp:lastModifiedBy>
  <dcterms:modified xsi:type="dcterms:W3CDTF">2023-05-04T07:28:37Z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7ACA112A684E4753B3A388286A35E2FC_11</vt:lpwstr>
  </property>
</Properties>
</file>