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依据《集中式饮用水水源地规范化建设环境保护技术要求》（HJ773-2015）、《集中式饮用水水源环境保护指南（试行）》及《农村饮用水水源地环境保护项目建设与投资指南》（环发〔2013〕130号）等法律法规、标准、部门规章文件，结合十里河水库、棉花沟水库、油房河石河堰、猫儿沟水库和黑堰塘水库现场实际情况，拟在上述饮用水水源地保护区域设立标识标牌、更换修复破损的隔离网并扩大隔离网阻拦范围、进行勘界和设置界桩的工作、安装水质预警在线监测站等，旨在让本项目涉及的5个水源地水质维持地表水Ⅲ类并趋于变好，并完善水源地基础规范性文件及措施，为后期水源地保护提供资料基础及科学依据。本项目需完成相关物资设备的采购及其他配套服务。 十里河水库位于：资阳市乐至县石佛镇，水库总库容639.6万m3。 棉花沟水库位于：资阳市乐至县东山镇，总库容1248万m3。 油房河石河堰位于：资阳市乐至县宝林镇，河流面积及汇水区域都较小，其来水主要为自然降雨与桂花湾水库。 猫儿沟水库位于：资阳市乐至县良安镇，总库容206万m3。 黑堰塘水库位于：资阳市乐至县盛池镇，总库容106万m3。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13,000,000.00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13,000,000.00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3240"/>
        <w:gridCol w:w="487"/>
        <w:gridCol w:w="989"/>
        <w:gridCol w:w="498"/>
        <w:gridCol w:w="498"/>
        <w:gridCol w:w="510"/>
        <w:gridCol w:w="521"/>
        <w:gridCol w:w="521"/>
        <w:gridCol w:w="5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乐至县 5 个水源地保护工程</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13,000,000.00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标的名称：乐至县 5 个水源地保护工程</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0"/>
        <w:gridCol w:w="351"/>
        <w:gridCol w:w="7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宋体" w:hAnsi="宋体" w:eastAsia="宋体" w:cs="宋体"/>
              </w:rPr>
            </w:pPr>
            <w:r>
              <w:rPr>
                <w:rFonts w:hint="eastAsia" w:ascii="宋体" w:hAnsi="宋体" w:eastAsia="宋体" w:cs="宋体"/>
                <w:sz w:val="32"/>
                <w:szCs w:val="32"/>
                <w:bdr w:val="none" w:color="auto" w:sz="0" w:space="0"/>
              </w:rPr>
              <w:t>采购标的汇总表</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7"/>
              <w:gridCol w:w="708"/>
              <w:gridCol w:w="1760"/>
              <w:gridCol w:w="1285"/>
              <w:gridCol w:w="1169"/>
              <w:gridCol w:w="939"/>
              <w:gridCol w:w="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9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包号</w:t>
                  </w:r>
                </w:p>
              </w:tc>
              <w:tc>
                <w:tcPr>
                  <w:tcW w:w="7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序号</w:t>
                  </w:r>
                </w:p>
              </w:tc>
              <w:tc>
                <w:tcPr>
                  <w:tcW w:w="21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标的明细</w:t>
                  </w:r>
                </w:p>
              </w:tc>
              <w:tc>
                <w:tcPr>
                  <w:tcW w:w="15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品目分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类编码</w:t>
                  </w:r>
                </w:p>
              </w:tc>
              <w:tc>
                <w:tcPr>
                  <w:tcW w:w="13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计量单位</w:t>
                  </w:r>
                </w:p>
              </w:tc>
              <w:tc>
                <w:tcPr>
                  <w:tcW w:w="10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数量</w:t>
                  </w:r>
                </w:p>
              </w:tc>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是否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界标</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77</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2</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交通警示牌（双柱式支撑）</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25</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3</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交通警示牌（悬臂式支撑）</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32</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4</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宣传牌</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31</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5</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隔离防护网</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m</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10000</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6</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水质在线监测站</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A032405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环保监测设备</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座</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7</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漂浮物打捞船</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A0331水上交通运输设备</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艘</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8</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科普展示牌</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9</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水质取样无人机</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A0332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航空器及其配套设备</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10</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日常巡查无人机</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A0332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航空器及其配套设备</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11</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勘界、设置界桩</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12</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生态浮岛</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其他货物</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m2</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4450</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2"/>
                    <w:jc w:val="center"/>
                    <w:rPr>
                      <w:rFonts w:hint="eastAsia" w:ascii="宋体" w:hAnsi="宋体" w:eastAsia="宋体" w:cs="宋体"/>
                    </w:rPr>
                  </w:pPr>
                  <w:r>
                    <w:rPr>
                      <w:rStyle w:val="8"/>
                      <w:rFonts w:hint="eastAsia" w:ascii="宋体" w:hAnsi="宋体" w:eastAsia="宋体" w:cs="宋体"/>
                      <w:sz w:val="21"/>
                      <w:szCs w:val="21"/>
                      <w:bdr w:val="none" w:color="auto" w:sz="0" w:space="0"/>
                    </w:rPr>
                    <w:t>1</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13</w:t>
                  </w:r>
                </w:p>
              </w:tc>
              <w:tc>
                <w:tcPr>
                  <w:tcW w:w="21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鱼苗</w:t>
                  </w:r>
                </w:p>
              </w:tc>
              <w:tc>
                <w:tcPr>
                  <w:tcW w:w="15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A12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农林牧渔业产品</w:t>
                  </w:r>
                </w:p>
              </w:tc>
              <w:tc>
                <w:tcPr>
                  <w:tcW w:w="13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尾</w:t>
                  </w:r>
                </w:p>
              </w:tc>
              <w:tc>
                <w:tcPr>
                  <w:tcW w:w="10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10万</w:t>
                  </w:r>
                </w:p>
              </w:tc>
              <w:tc>
                <w:tcPr>
                  <w:tcW w:w="9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450" w:lineRule="atLeast"/>
              <w:ind w:left="0" w:right="0"/>
              <w:jc w:val="both"/>
              <w:rPr>
                <w:rFonts w:hint="eastAsia" w:ascii="宋体" w:hAnsi="宋体" w:eastAsia="宋体" w:cs="宋体"/>
                <w:b/>
                <w:bCs/>
                <w:sz w:val="39"/>
                <w:szCs w:val="39"/>
              </w:rPr>
            </w:pPr>
            <w:r>
              <w:rPr>
                <w:rStyle w:val="8"/>
                <w:rFonts w:ascii="方正仿宋" w:hAnsi="方正仿宋" w:eastAsia="方正仿宋" w:cs="方正仿宋"/>
                <w:b/>
                <w:sz w:val="28"/>
                <w:szCs w:val="28"/>
                <w:bdr w:val="none" w:color="auto" w:sz="0" w:space="0"/>
              </w:rPr>
              <w:t>（一）</w:t>
            </w:r>
            <w:r>
              <w:rPr>
                <w:rStyle w:val="8"/>
                <w:rFonts w:hint="default" w:ascii="Times New Roman" w:hAnsi="Times New Roman" w:eastAsia="宋体" w:cs="Times New Roman"/>
                <w:b/>
                <w:sz w:val="28"/>
                <w:szCs w:val="28"/>
                <w:bdr w:val="none" w:color="auto" w:sz="0" w:space="0"/>
              </w:rPr>
              <w:t> </w:t>
            </w:r>
            <w:r>
              <w:rPr>
                <w:rStyle w:val="8"/>
                <w:rFonts w:hint="default" w:ascii="方正仿宋" w:hAnsi="方正仿宋" w:eastAsia="方正仿宋" w:cs="方正仿宋"/>
                <w:b/>
                <w:sz w:val="28"/>
                <w:szCs w:val="28"/>
                <w:bdr w:val="none" w:color="auto" w:sz="0" w:space="0"/>
              </w:rPr>
              <w:t>采购清单明细</w:t>
            </w:r>
          </w:p>
          <w:tbl>
            <w:tblPr>
              <w:tblW w:w="165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6"/>
              <w:gridCol w:w="1901"/>
              <w:gridCol w:w="1901"/>
              <w:gridCol w:w="1631"/>
              <w:gridCol w:w="1575"/>
              <w:gridCol w:w="2554"/>
              <w:gridCol w:w="6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号</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名称</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数量</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单位</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允许采购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进口产品</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569" w:type="dxa"/>
                  <w:gridSpan w:val="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设备、物资部分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界标</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77</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十里河水库22套；棉花沟水库23套；油房河石河堰10套；猫儿沟水库11套；黑堰塘水库11套；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交通警示牌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（双柱式支撑）</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25</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十里河水库5套；棉花沟水库6套；油房河石河堰2套；猫儿沟水库6套；黑堰塘水库6套；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交通警示牌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（悬臂式支撑）</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32</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十里河水库6套；棉花沟水库8套；油房河石河堰8套；猫儿沟水库6套；黑堰塘水库4套；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宣传牌</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31</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十里河水库9套；棉花沟水库6套；油房河石河堰5套；猫儿沟水库6套；黑堰塘水库5套。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隔离防护网</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10000</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m</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十里河水库4200m；油房河石河堰1910m；猫儿沟水库2480m；黑堰塘水库1410m。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水质在线监测站</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座</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十里河水库1座；棉花沟水库1座。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漂浮物打捞船</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艘</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5个水源地各1艘。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8</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科普展示牌</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十里河水库1套；棉花沟水库1套。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9</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水质取样无人机</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5个水源地共用2套。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日常巡查无人机</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5个水源地各1套。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569" w:type="dxa"/>
                  <w:gridSpan w:val="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配套服务部分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11</w:t>
                  </w:r>
                </w:p>
              </w:tc>
              <w:tc>
                <w:tcPr>
                  <w:tcW w:w="3797"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勘界、设置界桩</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套</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5个水源地共1套。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13</w:t>
                  </w:r>
                </w:p>
              </w:tc>
              <w:tc>
                <w:tcPr>
                  <w:tcW w:w="1899"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修复</w:t>
                  </w:r>
                </w:p>
              </w:tc>
              <w:tc>
                <w:tcPr>
                  <w:tcW w:w="18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浮岛</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4450</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m2</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十里河水库2400m2；棉花沟水库2050m2。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1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1899"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sz w:val="19"/>
                      <w:szCs w:val="19"/>
                    </w:rPr>
                  </w:pPr>
                </w:p>
              </w:tc>
              <w:tc>
                <w:tcPr>
                  <w:tcW w:w="18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鱼苗</w:t>
                  </w:r>
                </w:p>
              </w:tc>
              <w:tc>
                <w:tcPr>
                  <w:tcW w:w="163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10万</w:t>
                  </w:r>
                </w:p>
              </w:tc>
              <w:tc>
                <w:tcPr>
                  <w:tcW w:w="157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尾</w:t>
                  </w:r>
                </w:p>
              </w:tc>
              <w:tc>
                <w:tcPr>
                  <w:tcW w:w="25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否</w:t>
                  </w:r>
                </w:p>
              </w:tc>
              <w:tc>
                <w:tcPr>
                  <w:tcW w:w="610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十里河水库3万尾；棉花沟水库5万尾；猫儿沟水库1万尾；黑堰塘水库1万尾。</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450" w:lineRule="atLeast"/>
              <w:ind w:left="0" w:right="0"/>
              <w:jc w:val="both"/>
              <w:rPr>
                <w:rFonts w:hint="eastAsia" w:ascii="宋体" w:hAnsi="宋体" w:eastAsia="宋体" w:cs="宋体"/>
                <w:b/>
                <w:bCs/>
                <w:sz w:val="39"/>
                <w:szCs w:val="39"/>
              </w:rPr>
            </w:pPr>
            <w:r>
              <w:rPr>
                <w:rStyle w:val="8"/>
                <w:rFonts w:hint="default" w:ascii="方正仿宋" w:hAnsi="方正仿宋" w:eastAsia="方正仿宋" w:cs="方正仿宋"/>
                <w:b/>
                <w:sz w:val="28"/>
                <w:szCs w:val="28"/>
                <w:bdr w:val="none" w:color="auto" w:sz="0" w:space="0"/>
              </w:rPr>
              <w:t>（二）项目技术、服务要求</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36"/>
              <w:gridCol w:w="704"/>
              <w:gridCol w:w="712"/>
              <w:gridCol w:w="5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序号</w:t>
                  </w:r>
                </w:p>
              </w:tc>
              <w:tc>
                <w:tcPr>
                  <w:tcW w:w="193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项目</w:t>
                  </w:r>
                </w:p>
              </w:tc>
              <w:tc>
                <w:tcPr>
                  <w:tcW w:w="58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技术及服务要求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界标</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1、铝板牌面，1200×1600mm（±5%），正反面为一套。双柱式支撑，碳钢立柱ɸ89×6×3500mm（±5%）。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2、混凝土基础：≥C25钢筋混凝土，尺寸：400×400×600mm（±5%），一套含两个基础。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界标正面的上方为饮用水水源保护区图形标。中下方书写饮用水水源保护区名称，如饮用水水源一级保护区、饮用水水源二级保护区等。下方为“监督管理电话：XXXXXXXX”等监督管理方面的信息，监督管理电话一般为当地环境保护行政主管部门联系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界标背面的上方用清晰、易懂的图形或文字说明根据HJ/T 338-2018划定的饮用水水源保护区范围，以标明保护区准确地理坐标和范围参数等为宜。中下方书写饮用水水源保护区具体的管理要求，可引用《中华人民共和国水污染防治法》以及其他有关法律法规中关于饮用水水源保护区的条款和内容。最下方靠右处书写“XX政府XXXX年设立”字样，字体可反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4、安装位置见附件1。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示意图如下：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drawing>
                      <wp:inline distT="0" distB="0" distL="114300" distR="114300">
                        <wp:extent cx="3419475" cy="3352800"/>
                        <wp:effectExtent l="0" t="0" r="9525"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3419475" cy="33528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交通警示牌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（双柱式支撑）</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1、铝板牌面，1500×600mm（±5%）。双柱式支撑，碳钢立柱ɸ89×6×2600mm（±5%）。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2、混凝土基础：≥C25钢筋混凝土，尺寸：400×400×600mm（±5%），一套含两个基础。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3、交通警示牌，左边为饮用水水源保护区图形标志，右边书写“您已进入XX饮用水水源X级保护区全长XX公里”或“您已进入XX饮用水水源X级保护区从XX至XX”，提示过往车辆及行人谨慎驾驶或行为，字体可反光。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4、安装位置见附件2。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示意图如下：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drawing>
                      <wp:inline distT="0" distB="0" distL="114300" distR="114300">
                        <wp:extent cx="1695450" cy="16287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695450" cy="1628775"/>
                                </a:xfrm>
                                <a:prstGeom prst="rect">
                                  <a:avLst/>
                                </a:prstGeom>
                                <a:noFill/>
                                <a:ln w="9525">
                                  <a:noFill/>
                                </a:ln>
                              </pic:spPr>
                            </pic:pic>
                          </a:graphicData>
                        </a:graphic>
                      </wp:inline>
                    </w:drawing>
                  </w:r>
                  <w:r>
                    <w:rPr>
                      <w:rFonts w:hint="eastAsia" w:ascii="宋体" w:hAnsi="宋体" w:eastAsia="宋体" w:cs="宋体"/>
                      <w:sz w:val="21"/>
                      <w:szCs w:val="21"/>
                      <w:bdr w:val="none" w:color="auto" w:sz="0" w:space="0"/>
                    </w:rPr>
                    <w:drawing>
                      <wp:inline distT="0" distB="0" distL="114300" distR="114300">
                        <wp:extent cx="1714500" cy="1628775"/>
                        <wp:effectExtent l="0" t="0" r="0"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1714500" cy="16287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交通警示牌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（悬臂式支撑）</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1、铝板牌面，1500×600mm（±5%）。双柱式支撑，碳钢立柱ɸ180×6×6000mm（±5%）。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2、混凝土基础：≥C25钢筋混凝土，尺寸：1200×1800×200mm（±5%）+1000×1600×1400mm（±5%）。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3、交通警示牌，左边为饮用水水源保护区图形标志，右边书写“您已进入XX饮用水水源X级保护区全长XX公里”或“您已进入XX饮用水水源X级保护区从XX至XX”，提示过往车辆及行人谨慎驾驶或行为，字体可反光。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4、安装位置见附件3。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示意图如下：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drawing>
                      <wp:inline distT="0" distB="0" distL="114300" distR="114300">
                        <wp:extent cx="3419475" cy="1714500"/>
                        <wp:effectExtent l="0" t="0" r="9525"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3419475" cy="17145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宣传牌</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1、不锈钢牌面，2400×1500mm（±5%）。双柱式支撑，不锈钢立柱ɸ89×4×3500mm（±5%）。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2、混凝土基础：≥C25钢筋混凝土，尺寸：400×400×600mm（±5%）。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3、宣传牌，介绍当地饮用水水源保护区的地形地貌、划分情况、保护现状、管理要求等，并在宣传牌明显位置采用饮用水水源保护区图形标。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4、安装位置见附件4。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示意图如下：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drawing>
                      <wp:inline distT="0" distB="0" distL="114300" distR="114300">
                        <wp:extent cx="3419475" cy="2914650"/>
                        <wp:effectExtent l="0" t="0" r="9525"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3419475" cy="29146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隔离防护网</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a、浸锌钢丝网带边框防护栏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绿色镀锌浸塑，镀锌浸塑后的铁丝直径为5.0mm（±5%）；网孔尺寸为50mm×100mm（±5%）。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b、毛刺钢丝隔离防护栏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毛刺钢丝网水平9道，交叉1道设置，镀锌浸塑后的铁丝直径≥3.0mm（±5%）。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2、支撑：两方形立柱之间网格3.0×2.0m（±5%），支撑立柱高为2.5m，支撑柱采用50mm（±5%）方形柱。</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3、混凝土基础：≥C25混凝土，尺寸：400×400×600mm（±5%）。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其他：安装时钢丝网必须距离地面至少10cm，必要的位置预留1600×1300mm人行通道。由于本项目实施地形变化较多,可根据现场情况临时调整安装，每隔3至5格加支持柱1根，在地形起伏较大，相邻立柱无法找平，两幅围栏相差的高度大于40cm的地段，采用毛刺钢丝隔网防护栏；在地形起伏平缓，相邻立柱容易找平，两幅围栏相差的高度小于等于40cm的地段，采用浸锌钢丝网带边框防护栏。隔离网与道路平行布置时，应保持与道路边缘距离不少于25cm。在陡坡上建设应保持垂直，在挡墙或其他构筑物连接时，应在不影响结构安全的情况下利用不锈钢膨胀螺栓固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示意图如下：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drawing>
                      <wp:inline distT="0" distB="0" distL="114300" distR="114300">
                        <wp:extent cx="3419475" cy="1476375"/>
                        <wp:effectExtent l="0" t="0" r="9525"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3419475" cy="14763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drawing>
                      <wp:inline distT="0" distB="0" distL="114300" distR="114300">
                        <wp:extent cx="3419475" cy="1447800"/>
                        <wp:effectExtent l="0" t="0" r="9525"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3419475" cy="1447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5、安装点位见附件5。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水质在线监测站</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（一）自动分析单元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（1）温度（水质在线五参数分析仪）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1、测定原理：热电阻或热电偶；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2、量程：0℃-60℃，可调；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3、准确度：±0.5℃；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4、分辨率：0.01℃；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（2）PH（水质在线五参数分析仪）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1、测定原理：玻璃电极法；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2、量程：0-14pH；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3、准确度：±0.1pH；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4、分辨率：0.01pH；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5、漂移（pH=4、7、9）：±0.04pH；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6、重复性误差：≤±0.03pH；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8、实际水样比对试验：≤±0.05pH。</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（3）溶解氧（水质在线五参数分析仪）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1、测定原理：荧光法；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2、量程：0-20mg/L，可调；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3、量程漂移：±0.3mg/L；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4、重复性：±0.03mg/L；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5、温度补偿精度：±0.3mg/L；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7、实际水样比对试验：±0.2mg/L。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（4）电导率（水质在线五参数分析仪）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1、测定原理：电极法；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2、量程：0-500 mS/m，可调；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3、重复性误差：±0.1%；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4、零点漂移：±0.05%；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5、量程漂移：±1%；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6、温度补偿精度：±1%；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8、实际水样比对试验：±0.6%；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（5）浊度（水质在线五参数分析仪）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1、测定原理：光散射法；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2、量程：0-1000NTU，可调；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3、重复性误差：±0.5%；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4、零点漂移：±0.05%；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5、量程漂移：±1.2%；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6、线性误差：±0.8%；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8、实际水样对比试验：±10%；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方正仿宋" w:hAnsi="方正仿宋" w:eastAsia="方正仿宋" w:cs="方正仿宋"/>
                      <w:sz w:val="24"/>
                      <w:szCs w:val="24"/>
                      <w:bdr w:val="none" w:color="auto" w:sz="0" w:space="0"/>
                    </w:rPr>
                    <w:t>▲</w:t>
                  </w:r>
                  <w:r>
                    <w:rPr>
                      <w:rFonts w:hint="eastAsia" w:ascii="宋体" w:hAnsi="宋体" w:eastAsia="宋体" w:cs="宋体"/>
                      <w:sz w:val="21"/>
                      <w:szCs w:val="21"/>
                      <w:bdr w:val="none" w:color="auto" w:sz="0" w:space="0"/>
                    </w:rPr>
                    <w:t>备注：水质在线五参数分析仪需具备由中环协颁发的中国环境保护产品认证证书。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（6）高锰酸盐指数水质分析仪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1、测定原理：高锰酸钾氧化法；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2、量程：0-20mg/L，可调；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3、重复性误差：+0.2%；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4、零点漂移：±0.5%；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5、量程漂移：±0.8%；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6、葡萄糖试验：±5%（测量误差）；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7、实际水样比对试验：≦10%；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9、采用高精度注射泵稳定进样，非接触式液体定量设计，免维护周期长分析仪可独立运行；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方正仿宋" w:hAnsi="方正仿宋" w:eastAsia="方正仿宋" w:cs="方正仿宋"/>
                      <w:sz w:val="24"/>
                      <w:szCs w:val="24"/>
                      <w:bdr w:val="none" w:color="auto" w:sz="0" w:space="0"/>
                    </w:rPr>
                    <w:t>▲</w:t>
                  </w:r>
                  <w:r>
                    <w:rPr>
                      <w:rFonts w:hint="eastAsia" w:ascii="宋体" w:hAnsi="宋体" w:eastAsia="宋体" w:cs="宋体"/>
                      <w:sz w:val="21"/>
                      <w:szCs w:val="21"/>
                      <w:bdr w:val="none" w:color="auto" w:sz="0" w:space="0"/>
                    </w:rPr>
                    <w:t>备注：高锰酸盐指数水质分析仪需具备由中环协颁发的中国环境保护产品认证证书和环境保护部环境监测仪器质量监督中心出具的检测报告。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（7）氨氮水质分析仪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1、测定原理：纳氏试剂分光光度法；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2、测量范围：0-3mg/L，可调；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3、零点漂移：≤±0.005mg/L；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4、量程漂移：≤±0.2%；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5、重复性误差：±0.5%；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6、示值误差：20%时，≤±1.5%；50%时，≤±1.4%，80%时，≤±0.3%；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7、实际水样比对试验：≦10%；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8、MTBF：≥168h/次；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9、采用高精度注射泵稳定进样，非接触式液体定量设计，免维护周期长分析仪可独立运行；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方正仿宋" w:hAnsi="方正仿宋" w:eastAsia="方正仿宋" w:cs="方正仿宋"/>
                      <w:sz w:val="24"/>
                      <w:szCs w:val="24"/>
                      <w:bdr w:val="none" w:color="auto" w:sz="0" w:space="0"/>
                    </w:rPr>
                    <w:t>▲</w:t>
                  </w:r>
                  <w:r>
                    <w:rPr>
                      <w:rFonts w:hint="eastAsia" w:ascii="宋体" w:hAnsi="宋体" w:eastAsia="宋体" w:cs="宋体"/>
                      <w:sz w:val="21"/>
                      <w:szCs w:val="21"/>
                      <w:bdr w:val="none" w:color="auto" w:sz="0" w:space="0"/>
                    </w:rPr>
                    <w:t>备注：氨氮水质分析仪需具备由中环协颁发的中国环境保护产品认证证书和环境保护部环境监测仪器质量监督中心出具的检测报告。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（8）总磷水质分析仪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1、测定原理：钼酸铵分光光度法；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2、测量范围：0-2mg/L，可调；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3、量程漂移：±2%；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4、直线性：±1%；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5、重复性误差：±1.5%；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6、零点漂移，±0.1%；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7、实际水样对比试验：±10%；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9、采用高精度注射泵稳定进样，非接触式液体定量设计，免维护周期长分析仪可独立运行；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方正仿宋" w:hAnsi="方正仿宋" w:eastAsia="方正仿宋" w:cs="方正仿宋"/>
                      <w:sz w:val="24"/>
                      <w:szCs w:val="24"/>
                      <w:bdr w:val="none" w:color="auto" w:sz="0" w:space="0"/>
                    </w:rPr>
                    <w:t>▲</w:t>
                  </w:r>
                  <w:r>
                    <w:rPr>
                      <w:rFonts w:hint="eastAsia" w:ascii="宋体" w:hAnsi="宋体" w:eastAsia="宋体" w:cs="宋体"/>
                      <w:sz w:val="21"/>
                      <w:szCs w:val="21"/>
                      <w:bdr w:val="none" w:color="auto" w:sz="0" w:space="0"/>
                    </w:rPr>
                    <w:t>备注：总磷水质分析仪需具备由中环协颁发的中国环境保护产品认证证书。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（9）总氮水质分析仪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1、测定原理：过硫酸钾氧化-紫外分光光度法；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2、量程：0-20mg/L，可调；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3、零点漂移：±0.3%；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4、量程漂移：±2.0%；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5、直线性：±0.3%；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6、重复性误差：±1.5%；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7、实际水样比对试验：≦10%；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8、MTBF：≧720h/次；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9、采用高精度注射泵稳定进样，非接触式液体定量设计，免维护周期长分析仪可独立运行；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方正仿宋" w:hAnsi="方正仿宋" w:eastAsia="方正仿宋" w:cs="方正仿宋"/>
                      <w:sz w:val="24"/>
                      <w:szCs w:val="24"/>
                      <w:bdr w:val="none" w:color="auto" w:sz="0" w:space="0"/>
                    </w:rPr>
                    <w:t>▲</w:t>
                  </w:r>
                  <w:r>
                    <w:rPr>
                      <w:rFonts w:hint="eastAsia" w:ascii="宋体" w:hAnsi="宋体" w:eastAsia="宋体" w:cs="宋体"/>
                      <w:sz w:val="21"/>
                      <w:szCs w:val="21"/>
                      <w:bdr w:val="none" w:color="auto" w:sz="0" w:space="0"/>
                    </w:rPr>
                    <w:t>备注：总氮水质分析仪需具备由中环协颁发的中国环境保护产品认证证书和环境保护部环境监测仪器质量监督中心出具的检测报告。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（10）叶绿素a水质分析仪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1、测定原理：荧光法；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2、量程：0.15-400ug/L，可调；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3、分辨率：0.01ug/L；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4、精度：R2＞0.999；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5、检出限：0.15ug/L。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（二）其他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1、站房：一体式站房，钢筋混凝土结构，尺寸：长4000mm×宽2500mm×高2500mm，站房具备通风、防水、防雷等设施；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2、基本单元应至少包含以下部分：采水单元、预处理及配水单元、控制单元、数据采集和传输单元以及辅助单元（壁挂空调、UPS、废液收集装置和视频监控）；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3、配备图文传输设备及其他基础设施（2套办公设备；站房用电等，需满足日常使用要求）。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漂浮物打捞船</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1、载重：≧600kg；载人：≧4人；动力：电动力。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8</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科普展示牌</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1、尺寸不小于5000×2600×150mm，支撑柱埋入地下≥40cm，采用C25混凝土基础固定。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9</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水质取样无人机</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1、最大飞行时间：≧50min；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2、高清图传距离：≧2km；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3、单次最大采水量：≧1L；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4、云台相机像素：≧1200万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5、保险服务期限：≧2年；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6、培训学员人数：≧5人；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7、智慧平台及技术服务期限：≧2年。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备注：保险期内不限次免费维修，无人机培训需协助学员取得相关合格证书。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10</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日常巡查无人机</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1、高清图传距离：≧2km；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2、最大飞行时间：≧40min；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3、保险服务期限：≧2年；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4、培训学员人数：≧2人。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备注：保险期内不限次免费维修，无人机培训需协助学员取得相关合格证书。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11</w:t>
                  </w:r>
                </w:p>
              </w:tc>
              <w:tc>
                <w:tcPr>
                  <w:tcW w:w="193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勘界、设置界桩</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1、成果技术指标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a、需提供1:2000地形图。基础地理信息数字成果；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b、如利用现有地形图等测绘资料，其精度须优于以上规定的地形图精度，做好成果质量检核和资料现势性评价。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2、数学基础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a、坐标系：2000国家大地坐标系；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b、高程基准：1985国家高程基准；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c、地图投影：高斯-克吕格投影，3度分带，以“米”为坐标单位，坐标值保留2位小数；经纬度值采用“度”为单位，保留7位小数；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d、成图比例尺：1:2000。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3、精度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a、（一）空间分辨率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数字正射影像图空间分辨率应优于相应比例尺万分之一米，其中1:2000数字正射影像分辨率应优于0.2m；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b、平面精度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数字正射影像图的平面中误差一般不应大于相应比例尺图上±0.5mm。明显地物点平面位置中误差的两倍为其最大误差；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c、高程精度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数字高程模型和数字线划图的高程中误差在平地、丘陵地一般不大于相应比例尺格网尺寸或基本等高距的0.5倍；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d、勘界精度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勘定转绘后的明显界线与数字正射影像图上同名地物移位原则上不大于图上0.3mm，不明显界线不大于图上0.5mm。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宋体" w:hAnsi="宋体" w:eastAsia="宋体" w:cs="宋体"/>
                      <w:sz w:val="21"/>
                      <w:szCs w:val="21"/>
                      <w:bdr w:val="none" w:color="auto" w:sz="0" w:space="0"/>
                    </w:rPr>
                    <w:t>4、技术路线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a、收集勘界所需基础地理信息数据、高分遥感数据及饮用水水源保护区相关资料，并进行预处理；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b、在饮用水水源保护区批复基础上，校核、绘制保护区初始边界，布设界桩点，统一边界地形、保护区界线、界桩点等要素的数学基础，并叠加至正射影像，制作勘界工作底图；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c、针对现场地物与正射影像的一致性核实开展外业调绘，完成界桩点放样、界线勘定等相关工作，形成纸质记录、电子档案，质量检查后整理输出包含文档、图件、数据等的勘界成果，并按程序进行审查和上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12</w:t>
                  </w:r>
                </w:p>
              </w:tc>
              <w:tc>
                <w:tcPr>
                  <w:tcW w:w="960"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修复</w:t>
                  </w:r>
                </w:p>
              </w:tc>
              <w:tc>
                <w:tcPr>
                  <w:tcW w:w="9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浮岛</w:t>
                  </w:r>
                </w:p>
              </w:tc>
              <w:tc>
                <w:tcPr>
                  <w:tcW w:w="588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1、在十里河水库、棉花沟水库的水域设置生态浮岛，植物规格及种植要求如下：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5"/>
                    <w:gridCol w:w="1125"/>
                    <w:gridCol w:w="1470"/>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3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序号</w:t>
                        </w:r>
                      </w:p>
                    </w:tc>
                    <w:tc>
                      <w:tcPr>
                        <w:tcW w:w="112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名称</w:t>
                        </w:r>
                      </w:p>
                    </w:tc>
                    <w:tc>
                      <w:tcPr>
                        <w:tcW w:w="147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苗高（mm）</w:t>
                        </w:r>
                      </w:p>
                    </w:tc>
                    <w:tc>
                      <w:tcPr>
                        <w:tcW w:w="20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种植密度（株/m2）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旱伞草</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300-500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黄花鸢尾</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350-400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香菇草</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200-400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水生美人蕉</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300-400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菖蒲</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300-400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水棕竹</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300-600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112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千蕨菜</w:t>
                        </w:r>
                      </w:p>
                    </w:tc>
                    <w:tc>
                      <w:tcPr>
                        <w:tcW w:w="14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300-400</w:t>
                        </w:r>
                      </w:p>
                    </w:tc>
                    <w:tc>
                      <w:tcPr>
                        <w:tcW w:w="20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≥16</w:t>
                        </w:r>
                      </w:p>
                    </w:tc>
                  </w:tr>
                </w:tbl>
                <w:p>
                  <w:pPr>
                    <w:jc w:val="both"/>
                    <w:rPr>
                      <w:rFonts w:hint="eastAsia" w:ascii="宋体" w:hAnsi="宋体" w:eastAsia="宋体" w:cs="宋体"/>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960"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9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鱼苗</w:t>
                  </w:r>
                </w:p>
              </w:tc>
              <w:tc>
                <w:tcPr>
                  <w:tcW w:w="58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1、在水源地适当的投加一批滤食性鱼苗，对湖库鱼类群落进行调控，优化湖泊生态系统结构，增强水体自净能力。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a、种类：鲢鱼、鳙鱼；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b、比例：鲢鱼：鳙鱼=7：3；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10"/>
                    <w:jc w:val="both"/>
                    <w:rPr>
                      <w:rFonts w:hint="eastAsia" w:ascii="宋体" w:hAnsi="宋体" w:eastAsia="宋体" w:cs="宋体"/>
                    </w:rPr>
                  </w:pPr>
                  <w:r>
                    <w:rPr>
                      <w:rFonts w:hint="eastAsia" w:ascii="宋体" w:hAnsi="宋体" w:eastAsia="宋体" w:cs="宋体"/>
                      <w:sz w:val="21"/>
                      <w:szCs w:val="21"/>
                      <w:bdr w:val="none" w:color="auto" w:sz="0" w:space="0"/>
                    </w:rPr>
                    <w:t>c、规格：2两/尾。</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8"/>
                <w:rFonts w:hint="eastAsia" w:ascii="宋体" w:hAnsi="宋体" w:eastAsia="宋体" w:cs="宋体"/>
                <w:sz w:val="21"/>
                <w:szCs w:val="21"/>
                <w:bdr w:val="none" w:color="auto" w:sz="0" w:space="0"/>
              </w:rPr>
              <w:t>附件1：</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2"/>
              <w:gridCol w:w="1544"/>
              <w:gridCol w:w="1544"/>
              <w:gridCol w:w="642"/>
              <w:gridCol w:w="1649"/>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95"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界标点位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c>
                <w:tcPr>
                  <w:tcW w:w="6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8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105°4′14.24771″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30°18′13.04169″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105°7′52.62306″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30°12′13.52264″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105°4′31.02010″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30°18′12.24990″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105°7′43.70096″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30°12′3.78945″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105°4′46.02545″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30°18′23.83705″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105°8′5.41720″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30°11′44.33270″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105°4′59.48585″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30°18′39.43141″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105°7′38.10050″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30°11′22.37990″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105°4′31.07804″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30°18′38.27269″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105°7′48.95379″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30°10′49.70415″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105°4′10.92607″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30°19′13.46864″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105°9′12.81574″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30°12′19.28242″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105°4′4.36002″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30°18′35.89733″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105°3′42.69198″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30°23′7.52196″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105°3′29.62273″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30°18′53.45185″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105°4′15.19391″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30°23′22.72044″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105°2′50.94098″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30°19′19.88985″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105°4′25.46785″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30°23′38.45964″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105°3′4.26619″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30°18′34.77724″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105°4′2.75705″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30°24′10.94226″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105°3′45.79645″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30°18′14.57699″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105°3′14.92146″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30°23′36.66363″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105°4′0.07760″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30°18′17.08754″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105°3′14.62695″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30°23′39.85492″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105°4′40.48294″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30°18′7.66332″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105°3′34.18509″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30°23′53.90916″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105°5′30.52974″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30°18′41.37225″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105°3′34.51339″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30°23′58.46677″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105°5′4.29452″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30°19′44.64771″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105°3′16.16708″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30°23′35.91046″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105°4′22.95738″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30°19′40.61152″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105°3′20.99505″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30°24′3.12094″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105°3′46.29373″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30°19′44.64771″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104°57′26.24732″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30°30′12.64407″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105°2′8.49825″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30°20′25.82069″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104°56′33.25546″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30°31′41.78783″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105°1′43.85626″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30°19′40.84326″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104°55′51.30999″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30°30′30.62346″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105°1′42.54304″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30°19′20.22780″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104°55′38.35171″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30°29′24.65399″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105°1′59.73064″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30°18′50.24607″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104°57′31.63534″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30°29′15.34565″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105°2′57.51186″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30°18′13.36033″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104°57′36.11570″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30°29′54.31708″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105°7′41.59595″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30°13′54.18112″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104°57′5.48703″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30°29′28.26531″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105°7′17.64919″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30°13′22.26820″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104°57′6.83886″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30°29′52.21208″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105°6′59.14839″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30°12′49.61176″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104°57′19.73921″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30°29′41.35879″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105°6′44.43272″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30°12′34.99266″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104°57′33.72103″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30°29′30.65999″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105°6′48.48821″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30°12′7.12557″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104°56′43.06590″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30°28′31.75386″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105°7′2.70178″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30°11′57.43099″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105°3′6.26680″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30°27′32.69901″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105°8′56.54545″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30°11′35.62786″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105°3′22.20878″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30°28′24.69631″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105°8′59.72227″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30°11′49.98626″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105°3′36.61546″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30°28′12.70362″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105°8′56.57443″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30°13′1.55618″</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105°3′35.98782″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30°27′35.67304″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105°8′25.21190″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30°13′7.93877″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105°3′3.77557″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30°27′56.56852″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105°7′46.93570″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30°13′21.93990″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105°3′1.34227″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30°28′14.51894″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105°7′54.75702″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30°12′40.66070″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105°2′47.93981″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30°27′33.34596″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105°7′57.76968″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30°12′34.86230″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105°1′51.20143″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30°28′16.00596″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105°8′9.37614″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30°12′38.67640″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105°1′54.37824″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30°28′41.98048″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105°8′31.16962″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30°12′29.89914″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105°2′42.13658″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30°28′54.36906″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105°8′33.56430″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30°12′42.10426″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105°3′47.52669″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30°28′19.76212″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105°8′11.66460″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30°12′2.47624″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8"/>
                <w:rFonts w:hint="eastAsia" w:ascii="宋体" w:hAnsi="宋体" w:eastAsia="宋体" w:cs="宋体"/>
                <w:sz w:val="21"/>
                <w:szCs w:val="21"/>
                <w:bdr w:val="none" w:color="auto" w:sz="0" w:space="0"/>
              </w:rPr>
              <w:t>附件2：</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2"/>
              <w:gridCol w:w="1544"/>
              <w:gridCol w:w="1544"/>
              <w:gridCol w:w="642"/>
              <w:gridCol w:w="1649"/>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8295"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双柱式交通警示牌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c>
                <w:tcPr>
                  <w:tcW w:w="6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8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105°4′3.06612″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30°18′8.04956″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104°57′10.31017″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30°29′52.47279″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105°4′3.67445″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30°18′8.15578″</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104°57′10.59020″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30°29′52.63694″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105°4′3.56823″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30°18′8.51305″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104°57′21.70419″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30°29′37.54469″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105°4′45.14676″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30°18′23.36873″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104°57′24.21474″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30°29′36.69496″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105°4′45.32056″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30°18′22.96801″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104°57′35.01010″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30°29′30.27375″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105°7′52.48787″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30°12′14.33858″</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104°57′34.87491″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30°29′30.02270″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105°7′52.65684″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30°12′14.48341″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105°3′1.06224″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30°28′14.63481″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105°7′57.80347″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30°12′34.85747″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105°3′1.18777″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30°28′14.83758″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105°7′57.55242″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30°12′35.18577″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105°3′7.06825″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30°28′21.29741″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105°7′54.76184″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30°12′40.65104″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105°3′7.01997″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30°28′21.36501″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105°7′54.70391″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30°12′40.77657″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105°3′21.82254″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30°27′51.98194″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105°3′47.92550″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30°23′28.03121″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105°3′21.55218″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30°27′51.92401″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105°3′48.56280″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30°23′26.94009″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8"/>
                <w:rFonts w:hint="eastAsia" w:ascii="宋体" w:hAnsi="宋体" w:eastAsia="宋体" w:cs="宋体"/>
                <w:sz w:val="21"/>
                <w:szCs w:val="21"/>
                <w:bdr w:val="none" w:color="auto" w:sz="0" w:space="0"/>
              </w:rPr>
              <w:t>附件3：</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2"/>
              <w:gridCol w:w="1544"/>
              <w:gridCol w:w="1544"/>
              <w:gridCol w:w="642"/>
              <w:gridCol w:w="1649"/>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295"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悬臂式交通警示牌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c>
                <w:tcPr>
                  <w:tcW w:w="6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8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105°2′57.49737″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30°18′14.24868″</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105°4′15.87949″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30°23′54.54646″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105°2′57.19804″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30°18′14.35490″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105°4′16.18848″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30°23′54.27609″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105°5′33.88518″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30°18′45.30223″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105°4′24.10636″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30°23′41.87785″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105°5′33.66309″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30°18′44.96427″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105°4′23.95186″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30°23′41.68473″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105°5′3.60411″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30°19′44.72496″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105°3′42.62439″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30°23′7.38678″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105°5′3.90345″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30°19′45.09189″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105°3′42.41196″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30°23′7.23229″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105°7′36.94661″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30°11′22.57301″</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104°57′9.01145″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30°29′9.36861″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105°7′36.95144″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30°11′22.79510″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104°57′9.09353″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30°29′9.49414″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105°8′57.80556″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30°11′34.77813″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104°57′12.45379″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30°30′0.08168″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105°8′55.71987″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30°11′35.08713″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104°57′16.00718″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30°30′2.76603″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105°6′42.39531″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30°12′18.24923″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104°55′55.81450″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30°30′33.52024″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105°6′42.35669″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30°12′18.90584″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104°55′55.21583″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30°30′32.79605″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105°7′41.21938″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30°13′54.38389″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105°2′47.27355″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30°27′33.57770″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105°7′41.74080″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30°13′54.46115″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105°2′47.68875″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30°27′33.48114″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105°3′20.97574″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30°24′2.83126″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105°1′52.42773″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30°28′36.64073″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105°3′21.38129″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30°24′3.27543″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105°1′51.88700″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30°28′36.94971″</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8"/>
                <w:rFonts w:hint="eastAsia" w:ascii="宋体" w:hAnsi="宋体" w:eastAsia="宋体" w:cs="宋体"/>
                <w:sz w:val="21"/>
                <w:szCs w:val="21"/>
                <w:bdr w:val="none" w:color="auto" w:sz="0" w:space="0"/>
              </w:rPr>
              <w:t>附件四：</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2"/>
              <w:gridCol w:w="1544"/>
              <w:gridCol w:w="1544"/>
              <w:gridCol w:w="642"/>
              <w:gridCol w:w="1649"/>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295"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宣传牌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c>
                <w:tcPr>
                  <w:tcW w:w="6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18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16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105°4′10.39499″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30°18′9.71039″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105°3′29.82059″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30°23′58.97854″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105°4′44.82812″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30°18′18.86423″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105°3′48.44692″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30°23′27.01734″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105°4′18.19699″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30°19′5.98528″</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105°3′46.41918″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30°23′57.18254″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105°3′4.59933″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30°18′33.50265″</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105°4′17.45341″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30°23′45.38296″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105°3′30.09105″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30°18′50.76750″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104°56′47.81663″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30°31′26.58936″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105°4′59.81416″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30°19′25.49030″</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104°57′8.09413″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30°30′27.84254″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105°3′57.70707″</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30°19′25.21993″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104°56′21.35932″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30°29′59.78234″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105°2′53.51430″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30°20′4.21067″</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104°56′59.11409″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30°29′18.84111″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105°2′12.57306″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30°19′33.69786″</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104°57′12.70968″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30°30′0.78656″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105°7′57.19032″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30°12′10.68862″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26</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104°57′21.36141″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30°29′37.24535″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105°9′16.77468″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30°12′50.58702″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27</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105°3′28.60102″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30°27′40.03753″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105°8′10.49622″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30°12′39.83029″</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28</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105°2′38.60250″</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30°28′20.66013″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13</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105°8′16.98502″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30°13′5.53443″</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29</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105°2′58.91862″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30°27′59.24322″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105°6′42.60774″</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30°12′18.57754″</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105°2′19.79271″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30°27′44.94759″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15</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105°7′16.18631″</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30°12′15.22692″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105°3′16.79179″</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30°28′3.02835″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16</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105°3′16.01258″</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30°23′35.98772″</w:t>
                  </w:r>
                </w:p>
              </w:tc>
              <w:tc>
                <w:tcPr>
                  <w:tcW w:w="67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105°3′28.60102″</w:t>
                  </w:r>
                </w:p>
              </w:tc>
              <w:tc>
                <w:tcPr>
                  <w:tcW w:w="16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30°27′40.03753″</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8"/>
                <w:rFonts w:hint="eastAsia" w:ascii="宋体" w:hAnsi="宋体" w:eastAsia="宋体" w:cs="宋体"/>
                <w:sz w:val="21"/>
                <w:szCs w:val="21"/>
                <w:bdr w:val="none" w:color="auto" w:sz="0" w:space="0"/>
              </w:rPr>
              <w:t>附件五：</w:t>
            </w:r>
          </w:p>
          <w:tbl>
            <w:tblPr>
              <w:tblW w:w="16584"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40"/>
              <w:gridCol w:w="3930"/>
              <w:gridCol w:w="3691"/>
              <w:gridCol w:w="3930"/>
              <w:gridCol w:w="3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6569"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隔离网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点位</w:t>
                  </w:r>
                </w:p>
              </w:tc>
              <w:tc>
                <w:tcPr>
                  <w:tcW w:w="7615"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起点</w:t>
                  </w:r>
                </w:p>
              </w:tc>
              <w:tc>
                <w:tcPr>
                  <w:tcW w:w="7616"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终点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both"/>
                    <w:rPr>
                      <w:rFonts w:hint="eastAsia" w:ascii="宋体" w:hAnsi="宋体" w:eastAsia="宋体" w:cs="宋体"/>
                      <w:sz w:val="19"/>
                      <w:szCs w:val="19"/>
                    </w:rPr>
                  </w:pP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c>
                <w:tcPr>
                  <w:tcW w:w="392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经度</w:t>
                  </w:r>
                </w:p>
              </w:tc>
              <w:tc>
                <w:tcPr>
                  <w:tcW w:w="36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宋体" w:hAnsi="宋体" w:eastAsia="宋体" w:cs="宋体"/>
                      <w:sz w:val="21"/>
                      <w:szCs w:val="21"/>
                      <w:bdr w:val="none" w:color="auto" w:sz="0" w:space="0"/>
                    </w:rPr>
                    <w:t>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105°3′48.15974″</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30°18′28.52018″</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105°4′2.97197″</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30°18′18.48281″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2</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105°4′3.91826″</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30°18′18.05313″</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105°4′10.58569″</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30°18′10.75323″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105°4′14.34669″</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30°18′12.74235″</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105°4′44.39601″</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30°18′25.22750″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4</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105°4′27.35325″</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30°18′31.52318″</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105°4′25.39309″</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30°18′25.61374″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5</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105°4′20.55546″</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30°18′27.89254″</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105°4′15.77577″</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30°18′36.50565″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6</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105°4′18.85601″</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30°18′25.61374″</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105°4′18.85601″</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30°18′25.61374″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7</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105°4′0.53867″</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30°18′28.18705″</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105°4′3.74445″</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30°18′23.80325″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8</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105°3′14.85387″</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30°23′36.87124″</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105°3′34.50373″</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30°23′56.28453″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9</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105°3′15.08561″</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30°23′38.41136″</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105°3′34.65823″</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30°23′57.32737″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104°57′17.63421″</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30°29′57.34663″</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w:t>
                  </w:r>
                  <w:r>
                    <w:rPr>
                      <w:rFonts w:hint="eastAsia" w:ascii="宋体" w:hAnsi="宋体" w:eastAsia="宋体" w:cs="宋体"/>
                      <w:color w:val="000000"/>
                      <w:sz w:val="21"/>
                      <w:szCs w:val="21"/>
                      <w:bdr w:val="none" w:color="auto" w:sz="0" w:space="0"/>
                    </w:rPr>
                    <w:t>°</w:t>
                  </w:r>
                  <w:r>
                    <w:rPr>
                      <w:rFonts w:hint="eastAsia" w:ascii="宋体" w:hAnsi="宋体" w:eastAsia="宋体" w:cs="宋体"/>
                      <w:sz w:val="21"/>
                      <w:szCs w:val="21"/>
                      <w:bdr w:val="none" w:color="auto" w:sz="0" w:space="0"/>
                    </w:rPr>
                    <w:t>57</w:t>
                  </w:r>
                  <w:r>
                    <w:rPr>
                      <w:rFonts w:hint="eastAsia" w:ascii="宋体" w:hAnsi="宋体" w:eastAsia="宋体" w:cs="宋体"/>
                      <w:color w:val="000000"/>
                      <w:sz w:val="21"/>
                      <w:szCs w:val="21"/>
                      <w:bdr w:val="none" w:color="auto" w:sz="0" w:space="0"/>
                    </w:rPr>
                    <w:t>′</w:t>
                  </w:r>
                  <w:r>
                    <w:rPr>
                      <w:rFonts w:hint="eastAsia" w:ascii="宋体" w:hAnsi="宋体" w:eastAsia="宋体" w:cs="宋体"/>
                      <w:sz w:val="21"/>
                      <w:szCs w:val="21"/>
                      <w:bdr w:val="none" w:color="auto" w:sz="0" w:space="0"/>
                    </w:rPr>
                    <w:t>23.03913</w:t>
                  </w:r>
                  <w:r>
                    <w:rPr>
                      <w:rFonts w:hint="eastAsia" w:ascii="宋体" w:hAnsi="宋体" w:eastAsia="宋体" w:cs="宋体"/>
                      <w:color w:val="000000"/>
                      <w:sz w:val="21"/>
                      <w:szCs w:val="21"/>
                      <w:bdr w:val="none" w:color="auto" w:sz="0" w:space="0"/>
                    </w:rPr>
                    <w:t>″</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30°29′49.85845″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11</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104°57′14.46706″</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30°29′55.95618″</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104°57′21.61005″</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30°29′38.00576″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12</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104°57′31.91778″</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30°29′41.65330″</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104°57′24.54546″</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30°29′36.70221″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13</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104°57′24.15923″</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30°29′36.12768″</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104°57′9.56908″</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30°29′32.50187″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14</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104°57′21.45556″</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color w:val="000000"/>
                      <w:sz w:val="21"/>
                      <w:szCs w:val="21"/>
                      <w:bdr w:val="none" w:color="auto" w:sz="0" w:space="0"/>
                    </w:rPr>
                    <w:t>30°29′37.55676″</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104°57′8.35243″</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30°29′34.54893″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33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15</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105°3′7.88417″</w:t>
                  </w:r>
                </w:p>
              </w:tc>
              <w:tc>
                <w:tcPr>
                  <w:tcW w:w="36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30°27′55.82193″</w:t>
                  </w:r>
                </w:p>
              </w:tc>
              <w:tc>
                <w:tcPr>
                  <w:tcW w:w="39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105°3′25.14902″</w:t>
                  </w:r>
                </w:p>
              </w:tc>
              <w:tc>
                <w:tcPr>
                  <w:tcW w:w="3689"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宋体" w:hAnsi="宋体" w:eastAsia="宋体" w:cs="宋体"/>
                      <w:sz w:val="21"/>
                      <w:szCs w:val="21"/>
                      <w:bdr w:val="none" w:color="auto" w:sz="0" w:space="0"/>
                    </w:rPr>
                    <w:t>30°28′15.97390″</w:t>
                  </w:r>
                </w:p>
              </w:tc>
            </w:tr>
          </w:tbl>
          <w:p>
            <w:pPr>
              <w:wordWrap w:val="0"/>
              <w:spacing w:before="0" w:beforeAutospacing="0" w:after="0" w:afterAutospacing="0" w:line="480" w:lineRule="atLeast"/>
              <w:ind w:left="0" w:right="0" w:firstLine="420"/>
              <w:jc w:val="center"/>
              <w:rPr>
                <w:rFonts w:hint="eastAsia" w:ascii="宋体" w:hAnsi="宋体" w:eastAsia="宋体" w:cs="宋体"/>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采购人指定地点（十里河水库、棉花沟水库、油房河石河堰、猫儿沟水库、黑堰塘水库）。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（一）合同签订后，投标人向采购人出具合法有效完整的增值税发票后10个日历天内，采购人向投标人预付合同金额的60%； ，达到付款条件起 10 日，支付合同总金额的 60.00%。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（二）项目完成并经采购人验收合格后10个日历天内，采购人向投标人支付合同金额的40%； ，达到付款条件起 10 日，支付合同总金额的 40.00%。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按照《财政部关于进一步加强政府采购需求和履约验收管理的指导意见》(财库〔2016〕205号)、国家及行业有关规定及标准、采购文件要求和响应文件响应内容及合同约定进行验收。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本项目所有设施、设备质保期自验收合格之日起不少于1年，厂家质保期优于此标准的应以厂家质保期为准；质保期内该设施、设备或者其产品零部件出现质量问题（人为因素除外），投标人应无条件提供维修或更换服务。在质量保修期内投标人应提供维护服务；超出质保期的免收维修费，仅收维修配件费；备件送达期限：在设备的使用寿命期内，投标人应保证产品相关备件送达期不超过7天。绿植应提供1年的养护期。其他售后要求按照国家或行业三包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按合同约定执行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ODBkOTQ2OTBkNzFlZDk1YjQ5ZDQ1YzQ1MTFhMjIifQ=="/>
  </w:docVars>
  <w:rsids>
    <w:rsidRoot w:val="00000000"/>
    <w:rsid w:val="5749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2023-05-17T07:51:47Z</dcterms:created>
  <dc:creator>Administrator</dc:creator>
  <cp:lastModifiedBy>醉酒不醉心 </cp:lastModifiedBy>
  <dcterms:modified xsi:type="dcterms:W3CDTF">2023-05-17T07:53:45Z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950E4247BB6E4C09A03E138C02D1D660</vt:lpwstr>
  </property>
</Properties>
</file>