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麦昆乡蚕木扎村2023年省级财政乡村振兴转移支付建设</w:t>
      </w:r>
    </w:p>
    <w:p>
      <w:pPr>
        <w:pStyle w:val="null3"/>
        <w:jc w:val="center"/>
        <w:outlineLvl w:val="2"/>
      </w:pPr>
      <w:r>
        <w:rPr>
          <w:b/>
          <w:sz w:val="28"/>
        </w:rPr>
        <w:t>采购项目编号：</w:t>
      </w:r>
      <w:r>
        <w:rPr>
          <w:b/>
          <w:sz w:val="28"/>
        </w:rPr>
        <w:t>N5132312023000166</w:t>
      </w:r>
      <w:r>
        <w:br/>
      </w:r>
      <w:r>
        <w:br/>
      </w:r>
      <w:r>
        <w:br/>
      </w:r>
    </w:p>
    <w:p>
      <w:pPr>
        <w:pStyle w:val="null3"/>
        <w:jc w:val="center"/>
        <w:outlineLvl w:val="2"/>
      </w:pPr>
      <w:r>
        <w:rPr>
          <w:b/>
          <w:sz w:val="28"/>
        </w:rPr>
        <w:t>阿坝县麦昆乡人民政府</w:t>
      </w:r>
    </w:p>
    <w:p>
      <w:pPr>
        <w:pStyle w:val="null3"/>
        <w:jc w:val="center"/>
        <w:outlineLvl w:val="2"/>
      </w:pPr>
      <w:r>
        <w:rPr>
          <w:b/>
          <w:sz w:val="28"/>
        </w:rPr>
        <w:t>四川中红工程咨询有限公司</w:t>
      </w:r>
      <w:r>
        <w:rPr>
          <w:b/>
          <w:sz w:val="28"/>
        </w:rPr>
        <w:t>共同编制</w:t>
      </w:r>
    </w:p>
    <w:p>
      <w:pPr>
        <w:pStyle w:val="null3"/>
        <w:jc w:val="center"/>
        <w:outlineLvl w:val="2"/>
      </w:pPr>
      <w:r>
        <w:rPr>
          <w:b/>
          <w:sz w:val="28"/>
        </w:rPr>
        <w:t>2023年11月01日</w:t>
      </w:r>
    </w:p>
    <w:p>
      <w:pPr>
        <w:pStyle w:val="null3"/>
        <w:jc w:val="center"/>
        <w:outlineLvl w:val="1"/>
      </w:pPr>
      <w:r>
        <w:rPr>
          <w:b/>
          <w:sz w:val="36"/>
        </w:rPr>
        <w:t>第一章 竞争性磋商邀请</w:t>
      </w:r>
    </w:p>
    <w:p>
      <w:pPr>
        <w:pStyle w:val="null3"/>
        <w:ind w:firstLine="480"/>
      </w:pPr>
      <w:r>
        <w:rPr/>
        <w:t>四川中红工程咨询有限公司</w:t>
      </w:r>
      <w:r>
        <w:rPr/>
        <w:t>（以下简称“代理机构”）受</w:t>
      </w:r>
      <w:r>
        <w:rPr/>
        <w:t>阿坝县麦昆乡人民政府</w:t>
      </w:r>
      <w:r>
        <w:rPr/>
        <w:t>委托，拟对</w:t>
      </w:r>
      <w:r>
        <w:rPr/>
        <w:t>麦昆乡蚕木扎村2023年省级财政乡村振兴转移支付建设</w:t>
      </w:r>
      <w:r>
        <w:rPr/>
        <w:t>采用竞争性磋商采购方式进行采购，兹邀请供应商参加本项目的竞争性磋商。</w:t>
      </w:r>
    </w:p>
    <w:p>
      <w:pPr>
        <w:pStyle w:val="null3"/>
        <w:outlineLvl w:val="2"/>
      </w:pPr>
      <w:r>
        <w:rPr>
          <w:b/>
          <w:sz w:val="28"/>
        </w:rPr>
        <w:t>一、项目编号：</w:t>
      </w:r>
      <w:r>
        <w:rPr>
          <w:b/>
          <w:sz w:val="28"/>
        </w:rPr>
        <w:t>N5132312023000166</w:t>
      </w:r>
    </w:p>
    <w:p>
      <w:pPr>
        <w:pStyle w:val="null3"/>
        <w:outlineLvl w:val="2"/>
      </w:pPr>
      <w:r>
        <w:rPr>
          <w:b/>
          <w:sz w:val="28"/>
        </w:rPr>
        <w:t>二、项目名称：</w:t>
      </w:r>
      <w:r>
        <w:rPr>
          <w:b/>
          <w:sz w:val="28"/>
        </w:rPr>
        <w:t>麦昆乡蚕木扎村2023年省级财政乡村振兴转移支付建设</w:t>
      </w:r>
    </w:p>
    <w:p>
      <w:pPr>
        <w:pStyle w:val="null3"/>
        <w:outlineLvl w:val="2"/>
      </w:pPr>
      <w:r>
        <w:rPr>
          <w:b/>
          <w:sz w:val="28"/>
        </w:rPr>
        <w:t>三、磋商项目简介</w:t>
      </w:r>
    </w:p>
    <w:p>
      <w:pPr>
        <w:pStyle w:val="null3"/>
        <w:ind w:firstLine="480"/>
      </w:pPr>
      <w:r>
        <w:rPr/>
        <w:t>阿坝县麦昆乡人民政府拟采购蚕木扎村游客接待中心设施一批。</w:t>
      </w:r>
    </w:p>
    <w:p>
      <w:pPr>
        <w:pStyle w:val="null3"/>
        <w:outlineLvl w:val="2"/>
      </w:pPr>
      <w:r>
        <w:rPr>
          <w:b/>
          <w:sz w:val="28"/>
        </w:rPr>
        <w:t>四、邀请供应商</w:t>
      </w:r>
    </w:p>
    <w:p>
      <w:pPr>
        <w:pStyle w:val="null3"/>
      </w:pPr>
    </w:p>
    <w:p>
      <w:pPr>
        <w:pStyle w:val="null3"/>
      </w:pPr>
    </w:p>
    <w:p>
      <w:pPr>
        <w:pStyle w:val="null3"/>
      </w:pPr>
      <w:r>
        <w:rPr/>
        <w:t>本次采购采取公告征集邀请磋商的供应商。</w:t>
      </w:r>
    </w:p>
    <w:p>
      <w:pPr>
        <w:pStyle w:val="null3"/>
      </w:pPr>
      <w:r>
        <w:rPr/>
        <w:t xml:space="preserve"> 公告征集：本次竞争性磋商在“四川政府采购网（www.ccgp-sichuan.gov.cn）”上以公告形式发布，兹邀请符合本次采购要求的供应商参加本项目的竞争性磋商。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无</w:t>
      </w:r>
    </w:p>
    <w:p>
      <w:pPr>
        <w:pStyle w:val="null3"/>
        <w:ind w:firstLine="480"/>
      </w:pPr>
      <w:r>
        <w:rPr/>
        <w:t xml:space="preserve"> 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1、行贿犯罪记录（描述：投标人单位及其现任法定代表人/单位负责人在参加本政府采购项目前三年内不得具有行贿犯罪记录（提供声明函原件））</w:t>
      </w:r>
    </w:p>
    <w:p>
      <w:pPr>
        <w:pStyle w:val="null3"/>
        <w:outlineLvl w:val="2"/>
      </w:pPr>
      <w:r>
        <w:rPr>
          <w:b/>
          <w:sz w:val="28"/>
        </w:rPr>
        <w:t>六、电子化采购相关事项</w:t>
      </w:r>
    </w:p>
    <w:p>
      <w:pPr>
        <w:pStyle w:val="null3"/>
        <w:ind w:firstLine="480"/>
      </w:pPr>
      <w:r>
        <w:rPr/>
        <w:t xml:space="preserve"> 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免费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b/>
          <w:sz w:val="28"/>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阿坝县麦昆乡人民政府</w:t>
      </w:r>
    </w:p>
    <w:p>
      <w:pPr>
        <w:pStyle w:val="null3"/>
      </w:pPr>
    </w:p>
    <w:p>
      <w:pPr>
        <w:pStyle w:val="null3"/>
      </w:pPr>
    </w:p>
    <w:p>
      <w:pPr>
        <w:pStyle w:val="null3"/>
      </w:pPr>
      <w:r>
        <w:rPr/>
        <w:t xml:space="preserve"> 地址： </w:t>
      </w:r>
      <w:r>
        <w:rPr/>
        <w:t>阿坝县麦昆乡齐卡洛村雄洼东路2号</w:t>
      </w:r>
    </w:p>
    <w:p>
      <w:pPr>
        <w:pStyle w:val="null3"/>
      </w:pPr>
      <w:r>
        <w:rPr/>
        <w:t xml:space="preserve"> 邮编： </w:t>
      </w:r>
      <w:r>
        <w:rPr/>
        <w:t>624600</w:t>
      </w:r>
    </w:p>
    <w:p>
      <w:pPr>
        <w:pStyle w:val="null3"/>
      </w:pPr>
      <w:r>
        <w:rPr/>
        <w:t xml:space="preserve"> 联系人： </w:t>
      </w:r>
      <w:r>
        <w:rPr/>
        <w:t>索郎老师</w:t>
      </w:r>
    </w:p>
    <w:p>
      <w:pPr>
        <w:pStyle w:val="null3"/>
      </w:pPr>
      <w:r>
        <w:rPr/>
        <w:t xml:space="preserve"> 联系电话： </w:t>
      </w:r>
      <w:r>
        <w:rPr/>
        <w:t>18283748747</w:t>
      </w:r>
    </w:p>
    <w:p>
      <w:pPr>
        <w:pStyle w:val="null3"/>
        <w:outlineLvl w:val="3"/>
      </w:pPr>
      <w:r>
        <w:rPr>
          <w:b/>
          <w:sz w:val="24"/>
        </w:rPr>
        <w:t>代理机构：</w:t>
      </w:r>
      <w:r>
        <w:rPr>
          <w:b/>
          <w:sz w:val="24"/>
        </w:rPr>
        <w:t>四川中红工程咨询有限公司</w:t>
      </w:r>
    </w:p>
    <w:p>
      <w:pPr>
        <w:pStyle w:val="null3"/>
      </w:pPr>
    </w:p>
    <w:p>
      <w:pPr>
        <w:pStyle w:val="null3"/>
      </w:pPr>
    </w:p>
    <w:p>
      <w:pPr>
        <w:pStyle w:val="null3"/>
      </w:pPr>
      <w:r>
        <w:rPr/>
        <w:t xml:space="preserve"> 地址： </w:t>
      </w:r>
      <w:r>
        <w:rPr/>
        <w:t>成都市高新区吉庆四路环球时代中心C座1106号</w:t>
      </w:r>
    </w:p>
    <w:p>
      <w:pPr>
        <w:pStyle w:val="null3"/>
      </w:pPr>
      <w:r>
        <w:rPr/>
        <w:t xml:space="preserve"> 邮编： </w:t>
      </w:r>
      <w:r>
        <w:rPr/>
        <w:t>610041</w:t>
      </w:r>
    </w:p>
    <w:p>
      <w:pPr>
        <w:pStyle w:val="null3"/>
      </w:pPr>
      <w:r>
        <w:rPr/>
        <w:t xml:space="preserve"> 联系人： </w:t>
      </w:r>
      <w:r>
        <w:rPr/>
        <w:t>王女士</w:t>
      </w:r>
    </w:p>
    <w:p>
      <w:pPr>
        <w:pStyle w:val="null3"/>
      </w:pPr>
      <w:r>
        <w:rPr/>
        <w:t xml:space="preserve"> 联系电话： </w:t>
      </w:r>
      <w:r>
        <w:rPr/>
        <w:t>028-62524386</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采购包1：454,000.00元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w:t>
            </w:r>
          </w:p>
          <w:p>
            <w:pPr>
              <w:pStyle w:val="null3"/>
            </w:pP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 xml:space="preserve"> 产品属于节能产品政府采购品目清单中应强制采购的产品范围，供应商应当提供国家确定的认证机构出具的、处于有效期之内的节能产品认证证书，否则作无效响应处理。</w:t>
            </w:r>
          </w:p>
          <w:p>
            <w:pPr>
              <w:pStyle w:val="null3"/>
            </w:pPr>
            <w:r>
              <w:rPr/>
              <w:t>3.本项目采购</w:t>
            </w:r>
            <w:r>
              <w:rPr/>
              <w:t>无</w:t>
            </w:r>
            <w:r>
              <w:rPr/>
              <w:t>产品属于节能产品政府采购品目清单中应优先采购的产品范围，本项目采购</w:t>
            </w:r>
            <w:r>
              <w:rPr/>
              <w:t>欧松板、自粘防水、硅酸钙板、5.2英寸PVC落水系统、木纹挂板、EPS窗套线、EPS大阳角线条、集成墙板、强化地板</w:t>
            </w:r>
            <w:r>
              <w:rPr/>
              <w:t>产品属于环境标志产品政府采购品目清单中应优先采购的产品范围，评审得分相同的，按供应商提供的优先采购产品认证证书数量由多到少顺序排列。</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小微企业（监狱企业、残疾人福利性单位视同小微企业）价格扣除（仅非预留份额的采购项目或者采购包适用）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响应报价合理性。供应商不能证明其响应报价合理性的，磋商小组应当将其响应文件作为无效处理。</w:t>
            </w:r>
          </w:p>
          <w:p>
            <w:pPr>
              <w:pStyle w:val="null3"/>
            </w:pPr>
            <w:r>
              <w:rPr/>
              <w:t xml:space="preserve"> （注：供应商报价低于最高限价50%或者低于其他有效供应商报价算术平均价40%的，磋商小组可以认为该供应商“报价明显低于其他实质性响应的供应商报价”。）</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本项目不收取磋商保证金。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采购包1：缴纳</w:t>
            </w:r>
          </w:p>
          <w:p>
            <w:pPr>
              <w:pStyle w:val="null3"/>
            </w:pPr>
            <w:r>
              <w:rPr/>
              <w:t>本采购包履约保证金为合同金额的3%</w:t>
            </w:r>
          </w:p>
          <w:p>
            <w:pPr>
              <w:pStyle w:val="null3"/>
            </w:pPr>
            <w:r>
              <w:rPr/>
              <w:t>说明：交款方式：履约保证金可以以支票、汇票、本票或者金融机构出具的保函等非现金形式提交（包括网银转账，电汇等方式）； 收款单位：成交后由采购人提供。（履约保证金由采购人收取，采购代理机构不得代收）； 开户行：成交后由采购人提供； 银行账号：成交后由采购人提供； 交款时间：成交通知书发放后，政府采购合同签订前。 注：①提供保函的担保机构必须是依法成立的具有相关资质和偿付能力的担保机构。②保函是银行等金融机构出具的，则必须要在中国人民银行征信系统能够进行查询，否则将取消中标资格，采购人将重新确定中标供应商，并依法追究法律责任。</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提交首次响应文件的截止之日起不少于</w:t>
            </w:r>
            <w:r>
              <w:rPr/>
              <w:t>120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代理服务费收费标准：按照《四川省政府采购营商环境指标提升专项行动工作方案》中“成本支出+合理利润”原则，以成交金额作为计算基数,按下列收费标准进行收取： 成交金额（万元） 费率 服务类型 货物招标 服务招标 工程招标 100以下 1.5% 1.5% 1.0% 100-500 1.1% 0.8% 0.7% 500-1000 0.8% 0.45% 0.55% 1000-5000 0.5% 0.25% 0.35% 5000-10000 0.25% 0.1% 0.2% 10000-100000 0.05% 0.05% 0.05% 1000000以上 0.01% 0.01% 0.01% 注：1、按本表费率计算的收费为采购代理服务全过程的收费基准价格。 2、采购代理服务收费按差额定率累进法计算。 3、由成交供应商在领取成交通知书前向采购代理机构一次性交纳采购代理服务费。 在办理采购代理服务费时，可使用银行转账、电汇等方式支付。</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w:t>
            </w:r>
          </w:p>
        </w:tc>
        <w:tc>
          <w:tcPr>
            <w:tcW w:type="dxa" w:w="5004"/>
          </w:tcPr>
          <w:p>
            <w:pPr>
              <w:pStyle w:val="null3"/>
            </w:pPr>
            <w:r>
              <w:rPr/>
              <w:t>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采购包1：组织现场踏勘：否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阿坝县麦昆乡人民政府</w:t>
      </w:r>
      <w:r>
        <w:rPr/>
        <w:t>和</w:t>
      </w:r>
      <w:r>
        <w:rPr/>
        <w:t>四川中红工程咨询有限公司</w:t>
      </w:r>
      <w:r>
        <w:rPr/>
        <w:t>享有。对磋商文件中供应商参加本次政府采购活动应当具备的条件，磋商项目技术、服务、商务及其他要求，评审细则及标准由</w:t>
      </w:r>
      <w:r>
        <w:rPr/>
        <w:t>阿坝县麦昆乡人民政府</w:t>
      </w:r>
      <w:r>
        <w:rPr/>
        <w:t>负责解释。除上述磋商文件内容，其他内容由</w:t>
      </w:r>
      <w:r>
        <w:rPr/>
        <w:t>四川中红工程咨询有限公司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阿坝县麦昆乡人民政府</w:t>
      </w:r>
      <w:r>
        <w:rPr/>
        <w:t>。</w:t>
      </w:r>
    </w:p>
    <w:p>
      <w:pPr>
        <w:pStyle w:val="null3"/>
        <w:ind w:firstLine="480"/>
      </w:pPr>
      <w:r>
        <w:rPr/>
        <w:t xml:space="preserve"> 二、“供应商”是指在按照磋商公告规定获取磋商文件，拟参加响应和向采购人提供货物及相应服务的法人、其他组织或自然人。</w:t>
      </w:r>
    </w:p>
    <w:p>
      <w:pPr>
        <w:pStyle w:val="null3"/>
        <w:ind w:firstLine="480"/>
      </w:pPr>
      <w:r>
        <w:rPr/>
        <w:t xml:space="preserve"> 三、“代理机构”是指政府采购集中采购机构和从事政府采购代理业务的社会中介机构。本项目的代理机构是</w:t>
      </w:r>
      <w:r>
        <w:rPr/>
        <w:t>四川中红工程咨询有限公司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五、“电子评审”是指通过项目电子化交易系统在线完成磋商小组组建，开展资格和符合性审查、比较与评价、出具磋商报告、推荐成交候选供应商等活动。</w:t>
      </w:r>
    </w:p>
    <w:p>
      <w:pPr>
        <w:pStyle w:val="null3"/>
        <w:outlineLvl w:val="3"/>
      </w:pPr>
      <w:r>
        <w:rPr>
          <w:b/>
          <w:sz w:val="24"/>
        </w:rPr>
        <w:t>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（四）磋商过程中可实质性变动的内容；</w:t>
      </w:r>
    </w:p>
    <w:p>
      <w:pPr>
        <w:pStyle w:val="null3"/>
        <w:ind w:firstLine="480"/>
      </w:pPr>
      <w:r>
        <w:rPr/>
        <w:t>（五）磋商办法；</w:t>
      </w:r>
    </w:p>
    <w:p>
      <w:pPr>
        <w:pStyle w:val="null3"/>
        <w:ind w:firstLine="480"/>
      </w:pPr>
      <w:r>
        <w:rPr/>
        <w:t>（六）响应文件格式；</w:t>
      </w:r>
    </w:p>
    <w:p>
      <w:pPr>
        <w:pStyle w:val="null3"/>
        <w:ind w:firstLine="480"/>
      </w:pPr>
      <w:r>
        <w:rPr/>
        <w:t>（七）拟签订采购合同文本。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ind w:firstLine="480"/>
      </w:pPr>
      <w:r>
        <w:rPr/>
        <w:t xml:space="preserve"> 二、澄清或者修改的内容为磋商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除磋商文件中另有规定外，本项目均采用国家法定的计量单位。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2.4.4知识产权（实质性要求）</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响应文件具体内容详见第六章。</w:t>
      </w:r>
    </w:p>
    <w:p>
      <w:pPr>
        <w:pStyle w:val="null3"/>
        <w:outlineLvl w:val="3"/>
      </w:pPr>
      <w:r>
        <w:rPr>
          <w:b/>
          <w:sz w:val="24"/>
        </w:rPr>
        <w:t>2.4.6响应文件格式</w:t>
      </w:r>
    </w:p>
    <w:p>
      <w:pPr>
        <w:pStyle w:val="null3"/>
        <w:ind w:firstLine="480"/>
      </w:pPr>
      <w:r>
        <w:rPr/>
        <w:t xml:space="preserve"> 一、供应商应按照磋商文件第六章中提供的“响应文件格式”填写相关内容。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五章磋商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一、响应文件应当根据磋商文件进行编制。供应商应通过四川政府采购网-办事指南下载投标（响应）客户端，使用客户端编制响应文件。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一、本项目为竞争性磋商项目。网上开启的开始时间为响应文件提交截止时间。成功提交或成功提交和解密电子响应文件的供应商不足3家的，不予开启，采购人或代理机构将终止采购活动。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被纳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详见磋商文件第五章。</w:t>
      </w:r>
    </w:p>
    <w:p>
      <w:pPr>
        <w:pStyle w:val="null3"/>
        <w:outlineLvl w:val="3"/>
      </w:pPr>
      <w:r>
        <w:rPr>
          <w:b/>
          <w:sz w:val="24"/>
        </w:rPr>
        <w:t>2.5.4磋商</w:t>
      </w:r>
    </w:p>
    <w:p>
      <w:pPr>
        <w:pStyle w:val="null3"/>
        <w:ind w:firstLine="480"/>
      </w:pPr>
      <w:r>
        <w:rPr/>
        <w:t>详见磋商文件第五章</w:t>
      </w:r>
    </w:p>
    <w:p>
      <w:pPr>
        <w:pStyle w:val="null3"/>
        <w:outlineLvl w:val="3"/>
      </w:pPr>
      <w:r>
        <w:rPr>
          <w:b/>
          <w:sz w:val="24"/>
        </w:rPr>
        <w:t>2.5.5成交通知书</w:t>
      </w:r>
    </w:p>
    <w:p>
      <w:pPr>
        <w:pStyle w:val="null3"/>
        <w:ind w:firstLine="480"/>
      </w:pPr>
      <w:r>
        <w:rPr/>
        <w:t xml:space="preserve"> 一、采购人或者磋商小组确认成交供应商后，代理机构在四川政府采购网发布成交结果公告、通过项目电子化交易系统发出成交通知书，成交供应商通过项目电子化交易系统获取成交通知书。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成交通知书自动失效。代理机构以公告形式宣布发出的成交通知书无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一、采购人应在成交通知书发出之日起30日内与成交供应商签订采购合同。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四、中小企业依据《政府采购促进中小企业发展管理办法》（财库〔2020〕46号）规定的政策获取政府采购合同后，小型、微型企业不得将合同分包给大型、中型企业，中型企业不得将合同分包给大型企业。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10</w:t>
      </w:r>
      <w:r>
        <w:rPr/>
        <w:t>日内组织验收</w:t>
      </w:r>
    </w:p>
    <w:p>
      <w:pPr>
        <w:pStyle w:val="null3"/>
        <w:ind w:firstLine="840"/>
      </w:pPr>
      <w:r>
        <w:rPr/>
        <w:t>8）验收组织的其他事项：</w:t>
      </w:r>
      <w:r>
        <w:rPr/>
        <w:t>详见采购合同</w:t>
      </w:r>
    </w:p>
    <w:p>
      <w:pPr>
        <w:pStyle w:val="null3"/>
        <w:ind w:firstLine="840"/>
      </w:pPr>
      <w:r>
        <w:rPr/>
        <w:t>9）技术履约验收内容：</w:t>
      </w:r>
      <w:r>
        <w:rPr/>
        <w:t>详见磋商文件</w:t>
      </w:r>
    </w:p>
    <w:p>
      <w:pPr>
        <w:pStyle w:val="null3"/>
        <w:ind w:firstLine="840"/>
      </w:pPr>
      <w:r>
        <w:rPr/>
        <w:t>10）商务履约验收内容：</w:t>
      </w:r>
      <w:r>
        <w:rPr/>
        <w:t>详见磋商文件</w:t>
      </w:r>
    </w:p>
    <w:p>
      <w:pPr>
        <w:pStyle w:val="null3"/>
        <w:ind w:firstLine="840"/>
      </w:pPr>
      <w:r>
        <w:rPr/>
        <w:t>11）履约验收标准：</w:t>
      </w:r>
    </w:p>
    <w:p>
      <w:pPr>
        <w:pStyle w:val="null3"/>
      </w:pPr>
    </w:p>
    <w:p>
      <w:pPr>
        <w:pStyle w:val="null3"/>
        <w:ind w:firstLine="1200"/>
      </w:pPr>
      <w:r>
        <w:rPr/>
        <w:t>1、验收标准：以本项目磋商文件、成交供应商响应文件及相关行业标准及《财政部关于进一步加强政府采购需求和履约验收管理的指导意见》（财库〔2016〕205号）、《政府采购需求管理办法》（财库〔2021〕22 号）文件等相关规定为准。 2、按国家有关规定以及采购人磋商文件的质量要求和技术指标、成交供应商的响应文件及承诺与本合同约定标准进行验收；双方如对质量要求和技术指标的约定标准有相互抵触或异议的事项，由采购人在采购与响应文件中按质量要求和技术指标比较优胜的原则确定该项的约定标准进行验收。 3、成交供应商必须保证所供货物的质量、安全；成交供应商承担运输的风险，所产生费用由成交供应商自行承担。采购人接收安装调试完成验收合格的产品，成交供应商安装调试完成，经采购人验收合格前的法律风险由成交供应商自行承担。</w:t>
      </w:r>
    </w:p>
    <w:p>
      <w:pPr>
        <w:pStyle w:val="null3"/>
        <w:ind w:firstLine="840"/>
      </w:pPr>
      <w:r>
        <w:rPr/>
        <w:t>12）履约验收其他事项：</w:t>
      </w:r>
      <w:r>
        <w:rPr/>
        <w:t>详见采购合同</w:t>
      </w:r>
    </w:p>
    <w:p>
      <w:pPr>
        <w:pStyle w:val="null3"/>
        <w:outlineLvl w:val="3"/>
      </w:pPr>
      <w:r>
        <w:rPr>
          <w:b/>
          <w:sz w:val="24"/>
        </w:rPr>
        <w:t>2.6.6资金支付（手动填写）</w:t>
      </w:r>
    </w:p>
    <w:p>
      <w:pPr>
        <w:pStyle w:val="null3"/>
        <w:ind w:firstLine="480"/>
      </w:pPr>
      <w:r>
        <w:rPr/>
        <w:t>采购人按财政部门的相关规定及采购合同的约定进行支付。</w:t>
      </w:r>
    </w:p>
    <w:p>
      <w:pPr>
        <w:pStyle w:val="null3"/>
        <w:outlineLvl w:val="2"/>
      </w:pPr>
      <w:r>
        <w:rPr>
          <w:b/>
          <w:sz w:val="28"/>
        </w:rPr>
        <w:t>2.7响应纪律要求</w:t>
      </w:r>
    </w:p>
    <w:p>
      <w:pPr>
        <w:pStyle w:val="null3"/>
        <w:outlineLvl w:val="3"/>
      </w:pPr>
      <w:r>
        <w:rPr>
          <w:b/>
          <w:sz w:val="24"/>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阿坝县麦昆乡人民政府</w:t>
      </w:r>
      <w:r>
        <w:rPr/>
        <w:t xml:space="preserve"> 负责答复；供应商对采购过程的询问、质疑由</w:t>
      </w:r>
      <w:r>
        <w:rPr/>
        <w:t>四川中红工程咨询有限公司</w:t>
      </w:r>
      <w:r>
        <w:rPr/>
        <w:t xml:space="preserve"> 负责答复；供应商对采购结果的询问、质疑由 </w:t>
      </w:r>
      <w:r>
        <w:rPr/>
        <w:t>四川中红工程咨询有限公司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p>
    <w:p>
      <w:pPr>
        <w:pStyle w:val="null3"/>
      </w:pPr>
    </w:p>
    <w:p>
      <w:pPr>
        <w:pStyle w:val="null3"/>
      </w:pPr>
      <w:r>
        <w:rPr/>
        <w:t>答复主体：代理机构</w:t>
      </w:r>
    </w:p>
    <w:p>
      <w:pPr>
        <w:pStyle w:val="null3"/>
      </w:pPr>
      <w:r>
        <w:rPr/>
        <w:t>联系人：王女士</w:t>
      </w:r>
    </w:p>
    <w:p>
      <w:pPr>
        <w:pStyle w:val="null3"/>
      </w:pPr>
      <w:r>
        <w:rPr/>
        <w:t>联系电话：028-62524386</w:t>
      </w:r>
    </w:p>
    <w:p>
      <w:pPr>
        <w:pStyle w:val="null3"/>
      </w:pPr>
      <w:r>
        <w:rPr/>
        <w:t>地址：成都市高新区吉庆四路环球时代中心C座1106号</w:t>
      </w:r>
    </w:p>
    <w:p>
      <w:pPr>
        <w:pStyle w:val="null3"/>
      </w:pPr>
      <w:r>
        <w:rPr/>
        <w:t>邮编：610041</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p>
    <w:p>
      <w:pPr>
        <w:pStyle w:val="null3"/>
      </w:pPr>
    </w:p>
    <w:p>
      <w:pPr>
        <w:pStyle w:val="null3"/>
      </w:pPr>
      <w:r>
        <w:rPr/>
        <w:t>阿坝县麦昆乡人民政府拟采购蚕木扎村游客接待中心设施一批。</w:t>
      </w:r>
    </w:p>
    <w:p>
      <w:pPr>
        <w:pStyle w:val="null3"/>
        <w:outlineLvl w:val="2"/>
      </w:pPr>
      <w:r>
        <w:rPr>
          <w:b/>
          <w:sz w:val="28"/>
        </w:rPr>
        <w:t>3.2采购内容</w:t>
      </w:r>
    </w:p>
    <w:p>
      <w:pPr>
        <w:pStyle w:val="null3"/>
        <w:outlineLvl w:val="3"/>
      </w:pPr>
      <w:r>
        <w:rPr>
          <w:b/>
          <w:sz w:val="24"/>
        </w:rPr>
        <w:t>3.2.1标的清单</w:t>
      </w:r>
    </w:p>
    <w:p>
      <w:pPr>
        <w:pStyle w:val="null3"/>
      </w:pPr>
    </w:p>
    <w:p>
      <w:pPr>
        <w:pStyle w:val="null3"/>
      </w:pPr>
    </w:p>
    <w:p>
      <w:pPr>
        <w:pStyle w:val="null3"/>
      </w:pPr>
    </w:p>
    <w:p>
      <w:pPr>
        <w:pStyle w:val="null3"/>
      </w:pPr>
      <w:r>
        <w:rPr/>
        <w:t>采购包1：</w:t>
      </w:r>
    </w:p>
    <w:p>
      <w:pPr>
        <w:pStyle w:val="null3"/>
      </w:pPr>
      <w:r>
        <w:rPr/>
        <w:t>采购包预算金额（元）: 454,000.00</w:t>
      </w:r>
    </w:p>
    <w:p>
      <w:pPr>
        <w:pStyle w:val="null3"/>
      </w:pPr>
      <w:r>
        <w:rPr/>
        <w:t>采购包最高限价（元）: 454,000.00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详见《标的名称及所属行业》表格</w:t>
            </w:r>
          </w:p>
        </w:tc>
        <w:tc>
          <w:tcPr>
            <w:tcW w:type="dxa" w:w="831"/>
          </w:tcPr>
          <w:p>
            <w:pPr>
              <w:pStyle w:val="null3"/>
              <w:jc w:val="right"/>
            </w:pPr>
            <w:r>
              <w:rPr/>
              <w:t>1.00</w:t>
            </w:r>
          </w:p>
        </w:tc>
        <w:tc>
          <w:tcPr>
            <w:tcW w:type="dxa" w:w="831"/>
          </w:tcPr>
          <w:p>
            <w:pPr>
              <w:pStyle w:val="null3"/>
              <w:jc w:val="right"/>
            </w:pPr>
            <w:r>
              <w:rPr/>
              <w:t>454,000.00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bl>
    <w:p>
      <w:pPr>
        <w:pStyle w:val="null3"/>
        <w:outlineLvl w:val="2"/>
      </w:pPr>
      <w:r>
        <w:rPr>
          <w:b/>
          <w:sz w:val="28"/>
        </w:rPr>
        <w:t>3.3技术要求</w:t>
      </w:r>
    </w:p>
    <w:p>
      <w:pPr>
        <w:pStyle w:val="null3"/>
      </w:pPr>
    </w:p>
    <w:p>
      <w:pPr>
        <w:pStyle w:val="null3"/>
      </w:pPr>
    </w:p>
    <w:p>
      <w:pPr>
        <w:pStyle w:val="null3"/>
      </w:pPr>
    </w:p>
    <w:p>
      <w:pPr>
        <w:pStyle w:val="null3"/>
      </w:pPr>
      <w:r>
        <w:rPr/>
        <w:t>采购包1：</w:t>
      </w:r>
    </w:p>
    <w:p>
      <w:pPr>
        <w:pStyle w:val="null3"/>
      </w:pPr>
    </w:p>
    <w:p>
      <w:pPr>
        <w:pStyle w:val="null3"/>
      </w:pPr>
      <w:r>
        <w:rPr/>
        <w:t>标的名称：详见《标的名称及所属行业》表格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楷体" w:hAnsi="楷体" w:cs="楷体" w:eastAsia="楷体"/>
                <w:b/>
                <w:sz w:val="24"/>
              </w:rPr>
              <w:t>一</w:t>
            </w:r>
            <w:r>
              <w:rPr>
                <w:rFonts w:ascii="楷体" w:hAnsi="楷体" w:cs="楷体" w:eastAsia="楷体"/>
                <w:b/>
                <w:sz w:val="24"/>
              </w:rPr>
              <w:t>、标的名称及所属行业</w:t>
            </w:r>
          </w:p>
          <w:tbl>
            <w:tblPr>
              <w:tblBorders>
                <w:top w:val="none" w:color="000000" w:sz="4"/>
                <w:left w:val="none" w:color="000000" w:sz="4"/>
                <w:bottom w:val="none" w:color="000000" w:sz="4"/>
                <w:right w:val="none" w:color="000000" w:sz="4"/>
                <w:insideH w:val="none"/>
                <w:insideV w:val="none"/>
              </w:tblBorders>
            </w:tblPr>
            <w:tblGrid>
              <w:gridCol w:w="552"/>
              <w:gridCol w:w="1084"/>
              <w:gridCol w:w="911"/>
            </w:tblGrid>
            <w:tr>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b/>
                      <w:sz w:val="24"/>
                    </w:rPr>
                    <w:t>序号</w:t>
                  </w:r>
                </w:p>
              </w:tc>
              <w:tc>
                <w:tcPr>
                  <w:tcW w:type="dxa" w:w="1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b/>
                      <w:sz w:val="24"/>
                    </w:rPr>
                    <w:t>标的名称</w:t>
                  </w:r>
                </w:p>
              </w:tc>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b/>
                      <w:sz w:val="24"/>
                    </w:rPr>
                    <w:t>所属行业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轻钢龙骨</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2</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配钢</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3</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欧松板</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4</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自粘防水</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5</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沥青瓦</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6</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硅酸钙板</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7</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正流器</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8</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方形百叶窗</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9</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落水管</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10</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欧松板</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呼吸纸</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12</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木纹挂板</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13</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EPS窗套线</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14</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EPS大阳角线条</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15</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玻璃纤维棉</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16</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硅酸钙板</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17</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集成墙板</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18</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强化地板</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工业</w:t>
                  </w:r>
                </w:p>
              </w:tc>
            </w:tr>
          </w:tbl>
          <w:p>
            <w:pPr>
              <w:pStyle w:val="null3"/>
              <w:jc w:val="both"/>
            </w:pPr>
          </w:p>
          <w:p>
            <w:pPr>
              <w:pStyle w:val="null3"/>
              <w:ind w:left="210"/>
              <w:jc w:val="both"/>
            </w:pPr>
            <w:r>
              <w:rPr>
                <w:rFonts w:ascii="楷体" w:hAnsi="楷体" w:cs="楷体" w:eastAsia="楷体"/>
                <w:b/>
                <w:sz w:val="24"/>
              </w:rPr>
              <w:t>二、</w:t>
            </w:r>
            <w:r>
              <w:rPr>
                <w:rFonts w:ascii="楷体" w:hAnsi="楷体" w:cs="楷体" w:eastAsia="楷体"/>
                <w:b/>
                <w:sz w:val="24"/>
              </w:rPr>
              <w:t>采购清单及技术参数要求</w:t>
            </w:r>
          </w:p>
          <w:tbl>
            <w:tblPr>
              <w:tblBorders>
                <w:top w:val="none" w:color="000000" w:sz="4"/>
                <w:left w:val="none" w:color="000000" w:sz="4"/>
                <w:bottom w:val="none" w:color="000000" w:sz="4"/>
                <w:right w:val="none" w:color="000000" w:sz="4"/>
                <w:insideH w:val="none"/>
                <w:insideV w:val="none"/>
              </w:tblBorders>
            </w:tblPr>
            <w:tblGrid>
              <w:gridCol w:w="153"/>
              <w:gridCol w:w="365"/>
              <w:gridCol w:w="1614"/>
              <w:gridCol w:w="226"/>
              <w:gridCol w:w="188"/>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b/>
                      <w:sz w:val="24"/>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b/>
                      <w:sz w:val="24"/>
                    </w:rPr>
                    <w:t>产品名称</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b/>
                      <w:sz w:val="24"/>
                    </w:rPr>
                    <w:t>技术参数要求</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b/>
                      <w:sz w:val="24"/>
                    </w:rPr>
                    <w:t>数量</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b/>
                      <w:sz w:val="24"/>
                    </w:rPr>
                    <w:t>单位</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b/>
                      <w:sz w:val="24"/>
                    </w:rPr>
                    <w:t>一、主体结构</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轻钢龙骨</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●1、规格：S550-AZ150-89-0.8。</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4340</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kg</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配钢</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●1、规格：S550-AZ150-89-0.8。</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45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kg</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b/>
                      <w:color w:val="000000"/>
                      <w:sz w:val="24"/>
                    </w:rPr>
                    <w:t>二、屋顶结构</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3</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欧松板</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●1、规格：厚11.5mm*宽1220mm*长2440mm/张；</w:t>
                  </w:r>
                  <w:r>
                    <w:br/>
                  </w:r>
                  <w:r>
                    <w:rPr>
                      <w:rFonts w:ascii="楷体" w:hAnsi="楷体" w:cs="楷体" w:eastAsia="楷体"/>
                      <w:color w:val="000000"/>
                      <w:sz w:val="24"/>
                    </w:rPr>
                    <w:t>▲2、弹性模量：平行：平均值：≥3800MPa，最小值：≥3500MPa；垂直：平均值：≥1800MPa，最小值：≥1500MPa；</w:t>
                  </w:r>
                  <w:r>
                    <w:br/>
                  </w:r>
                  <w:r>
                    <w:rPr>
                      <w:rFonts w:ascii="楷体" w:hAnsi="楷体" w:cs="楷体" w:eastAsia="楷体"/>
                      <w:color w:val="000000"/>
                      <w:sz w:val="24"/>
                    </w:rPr>
                    <w:t>▲3、静曲强度：平行：平均值：≥25MPa，最小值：≥18MPa；垂直：平均值：≥12MPa，最小值：≥10MPa；</w:t>
                  </w:r>
                  <w:r>
                    <w:br/>
                  </w:r>
                  <w:r>
                    <w:rPr>
                      <w:rFonts w:ascii="楷体" w:hAnsi="楷体" w:cs="楷体" w:eastAsia="楷体"/>
                      <w:color w:val="000000"/>
                      <w:sz w:val="24"/>
                    </w:rPr>
                    <w:t>▲4、24h吸水厚度膨胀率：平均值：≤15%，最大值：≤18%。</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55</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张</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自粘防水</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●1、规格：宽1m*长20m*厚1.5mm/卷；</w:t>
                  </w:r>
                  <w:r>
                    <w:br/>
                  </w:r>
                  <w:r>
                    <w:rPr>
                      <w:rFonts w:ascii="楷体" w:hAnsi="楷体" w:cs="楷体" w:eastAsia="楷体"/>
                      <w:color w:val="000000"/>
                      <w:sz w:val="24"/>
                    </w:rPr>
                    <w:t>▲2、拉力：纵向：≥450N/50mm，横向：≥450N/50mm；</w:t>
                  </w:r>
                  <w:r>
                    <w:br/>
                  </w:r>
                  <w:r>
                    <w:rPr>
                      <w:rFonts w:ascii="楷体" w:hAnsi="楷体" w:cs="楷体" w:eastAsia="楷体"/>
                      <w:color w:val="000000"/>
                      <w:sz w:val="24"/>
                    </w:rPr>
                    <w:t>▲3、最大拉力时伸长率：纵向：≥60%；横向：≥60%；</w:t>
                  </w:r>
                  <w:r>
                    <w:br/>
                  </w:r>
                  <w:r>
                    <w:rPr>
                      <w:rFonts w:ascii="楷体" w:hAnsi="楷体" w:cs="楷体" w:eastAsia="楷体"/>
                      <w:color w:val="000000"/>
                      <w:sz w:val="24"/>
                    </w:rPr>
                    <w:t>▲4、耐热性（70℃，2h）：滑移-上表面/单面：≤2mm，滑移-下表面：≤2mm；低温柔度（-20℃，1h）：上表面：无裂纹，下表面：无裂纹；不透水性（0.3MPa，120min）：不透水。</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9</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卷</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沥青瓦</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●1、规格：长1000mm*宽333mm*厚2.6mm/片</w:t>
                  </w:r>
                  <w:r>
                    <w:rPr>
                      <w:rFonts w:ascii="楷体" w:hAnsi="楷体" w:cs="楷体" w:eastAsia="楷体"/>
                      <w:color w:val="000000"/>
                      <w:sz w:val="24"/>
                    </w:rPr>
                    <w:t>；</w:t>
                  </w:r>
                  <w:r>
                    <w:rPr>
                      <w:rFonts w:ascii="楷体" w:hAnsi="楷体" w:cs="楷体" w:eastAsia="楷体"/>
                      <w:color w:val="000000"/>
                      <w:sz w:val="24"/>
                    </w:rPr>
                    <w:t>21片/包；</w:t>
                  </w:r>
                  <w:r>
                    <w:br/>
                  </w:r>
                  <w:r>
                    <w:rPr>
                      <w:rFonts w:ascii="楷体" w:hAnsi="楷体" w:cs="楷体" w:eastAsia="楷体"/>
                      <w:color w:val="000000"/>
                      <w:sz w:val="24"/>
                    </w:rPr>
                    <w:t>▲2、单位面积质量：≥3.6kg/m³；可溶物含量：≥900g/m³；</w:t>
                  </w:r>
                  <w:r>
                    <w:br/>
                  </w:r>
                  <w:r>
                    <w:rPr>
                      <w:rFonts w:ascii="楷体" w:hAnsi="楷体" w:cs="楷体" w:eastAsia="楷体"/>
                      <w:color w:val="000000"/>
                      <w:sz w:val="24"/>
                    </w:rPr>
                    <w:t>▲3、拉力：纵向：≥800N/50mm，横向：≥400N/50mm；</w:t>
                  </w:r>
                  <w:r>
                    <w:br/>
                  </w:r>
                  <w:r>
                    <w:rPr>
                      <w:rFonts w:ascii="楷体" w:hAnsi="楷体" w:cs="楷体" w:eastAsia="楷体"/>
                      <w:color w:val="000000"/>
                      <w:sz w:val="24"/>
                    </w:rPr>
                    <w:t>▲4、耐热度（90℃，2h）：无滑动、无流淌、无滴落、无气泡；柔度（10℃，1h）：无裂纹；不透水性（10m水柱，24h）：不透水；</w:t>
                  </w:r>
                  <w:r>
                    <w:br/>
                  </w:r>
                  <w:r>
                    <w:rPr>
                      <w:rFonts w:ascii="楷体" w:hAnsi="楷体" w:cs="楷体" w:eastAsia="楷体"/>
                      <w:color w:val="000000"/>
                      <w:sz w:val="24"/>
                    </w:rPr>
                    <w:t>▲5、耐钉子拔出性能：≥80N。</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63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包</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硅酸钙板</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●1、规格：厚8mm*宽1220mm*长2440mm/张；</w:t>
                  </w:r>
                  <w:r>
                    <w:br/>
                  </w:r>
                  <w:r>
                    <w:rPr>
                      <w:rFonts w:ascii="楷体" w:hAnsi="楷体" w:cs="楷体" w:eastAsia="楷体"/>
                      <w:color w:val="000000"/>
                      <w:sz w:val="24"/>
                    </w:rPr>
                    <w:t>▲2、厚度不均匀度：≤5%；对角线差：≤5mm；</w:t>
                  </w:r>
                  <w:r>
                    <w:br/>
                  </w:r>
                  <w:r>
                    <w:rPr>
                      <w:rFonts w:ascii="楷体" w:hAnsi="楷体" w:cs="楷体" w:eastAsia="楷体"/>
                      <w:color w:val="000000"/>
                      <w:sz w:val="24"/>
                    </w:rPr>
                    <w:t>▲3、表面密度：≥1.2g/cm³；导热系数：≤0.3W/(m·k)；吸水率：≤40%；湿涨率：≤0.25%；</w:t>
                  </w:r>
                  <w:r>
                    <w:br/>
                  </w:r>
                  <w:r>
                    <w:rPr>
                      <w:rFonts w:ascii="楷体" w:hAnsi="楷体" w:cs="楷体" w:eastAsia="楷体"/>
                      <w:color w:val="000000"/>
                      <w:sz w:val="24"/>
                    </w:rPr>
                    <w:t>▲4、抗折强度：饱水强度纵横向平均值：≥14MPa，单块最低值：≥12MPa。</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11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张</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正流器</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w:t>
                  </w:r>
                  <w:r>
                    <w:rPr>
                      <w:rFonts w:ascii="楷体" w:hAnsi="楷体" w:cs="楷体" w:eastAsia="楷体"/>
                      <w:color w:val="000000"/>
                      <w:sz w:val="24"/>
                    </w:rPr>
                    <w:t>1、规格：300mm*300mm；</w:t>
                  </w:r>
                  <w:r>
                    <w:rPr>
                      <w:rFonts w:ascii="楷体" w:hAnsi="楷体" w:cs="楷体" w:eastAsia="楷体"/>
                      <w:sz w:val="24"/>
                    </w:rPr>
                    <w:t>材质：铝合金。</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个</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方形百叶窗</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w:t>
                  </w:r>
                  <w:r>
                    <w:rPr>
                      <w:rFonts w:ascii="楷体" w:hAnsi="楷体" w:cs="楷体" w:eastAsia="楷体"/>
                      <w:color w:val="000000"/>
                      <w:sz w:val="24"/>
                    </w:rPr>
                    <w:t>1、规格：600mm*600mm；</w:t>
                  </w:r>
                  <w:r>
                    <w:rPr>
                      <w:rFonts w:ascii="楷体" w:hAnsi="楷体" w:cs="楷体" w:eastAsia="楷体"/>
                      <w:sz w:val="24"/>
                    </w:rPr>
                    <w:t>材质：铝合金。</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个</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5.2英寸PVC落水系统</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●1、材质：PVC；水槽壁厚：≥3mm；雨水管壁厚：≥1.5mm。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sz w:val="24"/>
                    </w:rPr>
                    <w:t>套</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b/>
                      <w:color w:val="000000"/>
                      <w:sz w:val="24"/>
                    </w:rPr>
                    <w:t>三、外墙结构</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10</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欧松板</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●1、规格：厚8mm*宽1220mm*长2440mm/张。</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48</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张</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呼吸纸</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●1、规格：宽1.5m*长50m</w:t>
                  </w:r>
                  <w:r>
                    <w:rPr>
                      <w:rFonts w:ascii="楷体" w:hAnsi="楷体" w:cs="楷体" w:eastAsia="楷体"/>
                      <w:color w:val="000000"/>
                      <w:sz w:val="24"/>
                    </w:rPr>
                    <w:t>/卷，材质：无纺布。</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卷</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木纹挂板</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●1、规格：厚8mm*宽1220mm*长2440mm/片。</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378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片</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EPS窗套线</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●1、规格：100mm*50mm，材质：EPS。</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27</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米</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EPS大阳角线条</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●1、规格：100mm*100mm*50mm，材质：EPS。</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15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米</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b/>
                      <w:color w:val="000000"/>
                      <w:sz w:val="24"/>
                    </w:rPr>
                    <w:t>四、内墙</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15</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玻璃纤维棉</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●1、规格：厚100mm*宽1.2m*长10m/卷；</w:t>
                  </w:r>
                </w:p>
                <w:p>
                  <w:pPr>
                    <w:pStyle w:val="null3"/>
                    <w:jc w:val="left"/>
                  </w:pPr>
                  <w:r>
                    <w:rPr>
                      <w:rFonts w:ascii="楷体" w:hAnsi="楷体" w:cs="楷体" w:eastAsia="楷体"/>
                      <w:color w:val="000000"/>
                      <w:sz w:val="24"/>
                    </w:rPr>
                    <w:t>▲2、密度：≥15kg/m³；渣球含量：≤0.3%；</w:t>
                  </w:r>
                  <w:r>
                    <w:br/>
                  </w:r>
                  <w:r>
                    <w:rPr>
                      <w:rFonts w:ascii="楷体" w:hAnsi="楷体" w:cs="楷体" w:eastAsia="楷体"/>
                      <w:color w:val="000000"/>
                      <w:sz w:val="24"/>
                    </w:rPr>
                    <w:t>▲3、导热系数（平均温度：68℃～75℃）：≤0.058W/(m·k)；</w:t>
                  </w:r>
                  <w:r>
                    <w:br/>
                  </w:r>
                  <w:r>
                    <w:rPr>
                      <w:rFonts w:ascii="楷体" w:hAnsi="楷体" w:cs="楷体" w:eastAsia="楷体"/>
                      <w:color w:val="000000"/>
                      <w:sz w:val="24"/>
                    </w:rPr>
                    <w:t>▲4、热荷重收缩温度：≥250℃。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22</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卷</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硅酸钙板</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●1、规格：厚8mm*宽1220mm*长2440mm/张；</w:t>
                  </w:r>
                  <w:r>
                    <w:br/>
                  </w:r>
                  <w:r>
                    <w:rPr>
                      <w:rFonts w:ascii="楷体" w:hAnsi="楷体" w:cs="楷体" w:eastAsia="楷体"/>
                      <w:color w:val="000000"/>
                      <w:sz w:val="24"/>
                    </w:rPr>
                    <w:t>▲2、厚度不均匀度：≤5%；对角线差：≤5mm；</w:t>
                  </w:r>
                  <w:r>
                    <w:br/>
                  </w:r>
                  <w:r>
                    <w:rPr>
                      <w:rFonts w:ascii="楷体" w:hAnsi="楷体" w:cs="楷体" w:eastAsia="楷体"/>
                      <w:color w:val="000000"/>
                      <w:sz w:val="24"/>
                    </w:rPr>
                    <w:t>▲3、表面密度：≥1.2g/cm³；导热系数：≤0.3W/(m·k)；吸水率：≤40%；湿涨率：≤0.25%；</w:t>
                  </w:r>
                  <w:r>
                    <w:br/>
                  </w:r>
                  <w:r>
                    <w:rPr>
                      <w:rFonts w:ascii="楷体" w:hAnsi="楷体" w:cs="楷体" w:eastAsia="楷体"/>
                      <w:color w:val="000000"/>
                      <w:sz w:val="24"/>
                    </w:rPr>
                    <w:t>▲4、抗折强度：饱水强度纵横向平均值：≥14MPa，单块最低值：≥12MPa。</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125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张</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集成墙板</w:t>
                  </w:r>
                </w:p>
              </w:tc>
              <w:tc>
                <w:tcPr>
                  <w:tcW w:type="dxa" w:w="1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●1、规格：宽400mm*厚8mm；</w:t>
                  </w:r>
                </w:p>
                <w:p>
                  <w:pPr>
                    <w:pStyle w:val="null3"/>
                    <w:jc w:val="left"/>
                  </w:pPr>
                  <w:r>
                    <w:rPr>
                      <w:rFonts w:ascii="楷体" w:hAnsi="楷体" w:cs="楷体" w:eastAsia="楷体"/>
                      <w:color w:val="000000"/>
                      <w:sz w:val="24"/>
                    </w:rPr>
                    <w:t>▲2、甲醛释放量：≤0.5mg/L；可溶性铅含量：≤10mg/kg；可溶性镉含量：≤10mg/kg；可溶性铬含量：≤10mg/kg；可溶性汞含量：≤10mg/kg。</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340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b/>
                      <w:color w:val="000000"/>
                      <w:sz w:val="24"/>
                    </w:rPr>
                    <w:t>五、地面</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楷体" w:hAnsi="楷体" w:cs="楷体" w:eastAsia="楷体"/>
                      <w:sz w:val="24"/>
                    </w:rPr>
                    <w:t xml:space="preserve"> 18</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强化地板</w:t>
                  </w:r>
                </w:p>
              </w:tc>
              <w:tc>
                <w:tcPr>
                  <w:tcW w:type="dxa" w:w="1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楷体" w:hAnsi="楷体" w:cs="楷体" w:eastAsia="楷体"/>
                      <w:color w:val="000000"/>
                      <w:sz w:val="24"/>
                    </w:rPr>
                    <w:t>●</w:t>
                  </w:r>
                  <w:r>
                    <w:rPr>
                      <w:rFonts w:ascii="楷体" w:hAnsi="楷体" w:cs="楷体" w:eastAsia="楷体"/>
                      <w:sz w:val="24"/>
                    </w:rPr>
                    <w:t>1、规格：长1232mm*宽215mm*厚12mm；</w:t>
                  </w:r>
                  <w:r>
                    <w:br/>
                  </w:r>
                  <w:r>
                    <w:rPr>
                      <w:rFonts w:ascii="楷体" w:hAnsi="楷体" w:cs="楷体" w:eastAsia="楷体"/>
                      <w:b/>
                      <w:sz w:val="24"/>
                    </w:rPr>
                    <w:t>▲</w:t>
                  </w:r>
                  <w:r>
                    <w:rPr>
                      <w:rFonts w:ascii="楷体" w:hAnsi="楷体" w:cs="楷体" w:eastAsia="楷体"/>
                      <w:sz w:val="24"/>
                    </w:rPr>
                    <w:t>2、内结合强度：平均值：</w:t>
                  </w:r>
                  <w:r>
                    <w:rPr>
                      <w:rFonts w:ascii="楷体" w:hAnsi="楷体" w:cs="楷体" w:eastAsia="楷体"/>
                      <w:color w:val="000000"/>
                      <w:sz w:val="24"/>
                    </w:rPr>
                    <w:t>≥</w:t>
                  </w:r>
                  <w:r>
                    <w:rPr>
                      <w:rFonts w:ascii="楷体" w:hAnsi="楷体" w:cs="楷体" w:eastAsia="楷体"/>
                      <w:sz w:val="24"/>
                    </w:rPr>
                    <w:t>1.2</w:t>
                  </w:r>
                  <w:r>
                    <w:rPr>
                      <w:rFonts w:ascii="楷体" w:hAnsi="楷体" w:cs="楷体" w:eastAsia="楷体"/>
                      <w:color w:val="000000"/>
                      <w:sz w:val="24"/>
                    </w:rPr>
                    <w:t>MPa，最小值：≥</w:t>
                  </w:r>
                  <w:r>
                    <w:rPr>
                      <w:rFonts w:ascii="楷体" w:hAnsi="楷体" w:cs="楷体" w:eastAsia="楷体"/>
                      <w:sz w:val="24"/>
                    </w:rPr>
                    <w:t>1.0</w:t>
                  </w:r>
                  <w:r>
                    <w:rPr>
                      <w:rFonts w:ascii="楷体" w:hAnsi="楷体" w:cs="楷体" w:eastAsia="楷体"/>
                      <w:color w:val="000000"/>
                      <w:sz w:val="24"/>
                    </w:rPr>
                    <w:t>MPa；</w:t>
                  </w:r>
                  <w:r>
                    <w:br/>
                  </w:r>
                  <w:r>
                    <w:rPr>
                      <w:rFonts w:ascii="楷体" w:hAnsi="楷体" w:cs="楷体" w:eastAsia="楷体"/>
                      <w:b/>
                      <w:sz w:val="24"/>
                    </w:rPr>
                    <w:t>▲</w:t>
                  </w:r>
                  <w:r>
                    <w:rPr>
                      <w:rFonts w:ascii="楷体" w:hAnsi="楷体" w:cs="楷体" w:eastAsia="楷体"/>
                      <w:color w:val="000000"/>
                      <w:sz w:val="24"/>
                    </w:rPr>
                    <w:t>3、含水率：3.0～7.0%；吸水厚度膨胀率：≤5%；</w:t>
                  </w:r>
                  <w:r>
                    <w:br/>
                  </w:r>
                  <w:r>
                    <w:rPr>
                      <w:rFonts w:ascii="楷体" w:hAnsi="楷体" w:cs="楷体" w:eastAsia="楷体"/>
                      <w:b/>
                      <w:sz w:val="24"/>
                    </w:rPr>
                    <w:t>▲</w:t>
                  </w:r>
                  <w:r>
                    <w:rPr>
                      <w:rFonts w:ascii="楷体" w:hAnsi="楷体" w:cs="楷体" w:eastAsia="楷体"/>
                      <w:color w:val="000000"/>
                      <w:sz w:val="24"/>
                    </w:rPr>
                    <w:t>4、</w:t>
                  </w:r>
                  <w:r>
                    <w:rPr>
                      <w:rFonts w:ascii="楷体" w:hAnsi="楷体" w:cs="楷体" w:eastAsia="楷体"/>
                      <w:sz w:val="24"/>
                    </w:rPr>
                    <w:t>表面胶合强度：平均值：</w:t>
                  </w:r>
                  <w:r>
                    <w:rPr>
                      <w:rFonts w:ascii="楷体" w:hAnsi="楷体" w:cs="楷体" w:eastAsia="楷体"/>
                      <w:color w:val="000000"/>
                      <w:sz w:val="24"/>
                    </w:rPr>
                    <w:t>≥</w:t>
                  </w:r>
                  <w:r>
                    <w:rPr>
                      <w:rFonts w:ascii="楷体" w:hAnsi="楷体" w:cs="楷体" w:eastAsia="楷体"/>
                      <w:sz w:val="24"/>
                    </w:rPr>
                    <w:t>1.2</w:t>
                  </w:r>
                  <w:r>
                    <w:rPr>
                      <w:rFonts w:ascii="楷体" w:hAnsi="楷体" w:cs="楷体" w:eastAsia="楷体"/>
                      <w:color w:val="000000"/>
                      <w:sz w:val="24"/>
                    </w:rPr>
                    <w:t>MPa，最小值：≥</w:t>
                  </w:r>
                  <w:r>
                    <w:rPr>
                      <w:rFonts w:ascii="楷体" w:hAnsi="楷体" w:cs="楷体" w:eastAsia="楷体"/>
                      <w:sz w:val="24"/>
                    </w:rPr>
                    <w:t>1.0</w:t>
                  </w:r>
                  <w:r>
                    <w:rPr>
                      <w:rFonts w:ascii="楷体" w:hAnsi="楷体" w:cs="楷体" w:eastAsia="楷体"/>
                      <w:color w:val="000000"/>
                      <w:sz w:val="24"/>
                    </w:rPr>
                    <w:t>MPa；</w:t>
                  </w:r>
                  <w:r>
                    <w:br/>
                  </w:r>
                  <w:r>
                    <w:rPr>
                      <w:rFonts w:ascii="楷体" w:hAnsi="楷体" w:cs="楷体" w:eastAsia="楷体"/>
                      <w:b/>
                      <w:sz w:val="24"/>
                    </w:rPr>
                    <w:t>▲</w:t>
                  </w:r>
                  <w:r>
                    <w:rPr>
                      <w:rFonts w:ascii="楷体" w:hAnsi="楷体" w:cs="楷体" w:eastAsia="楷体"/>
                      <w:color w:val="000000"/>
                      <w:sz w:val="24"/>
                    </w:rPr>
                    <w:t>5、表面耐磨：≥4000转；表面耐污染腐蚀：无污染、无腐蚀；甲醛释放量：≤1.0mg/L。</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98</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楷体" w:hAnsi="楷体" w:cs="楷体" w:eastAsia="楷体"/>
                      <w:color w:val="000000"/>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楷体" w:hAnsi="楷体" w:cs="楷体" w:eastAsia="楷体"/>
                      <w:b/>
                      <w:sz w:val="24"/>
                    </w:rPr>
                    <w:t>注：</w:t>
                  </w:r>
                  <w:r>
                    <w:rPr>
                      <w:rFonts w:ascii="楷体" w:hAnsi="楷体" w:cs="楷体" w:eastAsia="楷体"/>
                      <w:b/>
                      <w:sz w:val="24"/>
                    </w:rPr>
                    <w:t>①本表带“▲”号条款为重要参数条款，</w:t>
                  </w:r>
                  <w:r>
                    <w:rPr>
                      <w:rFonts w:ascii="楷体" w:hAnsi="楷体" w:cs="楷体" w:eastAsia="楷体"/>
                      <w:b/>
                      <w:sz w:val="24"/>
                    </w:rPr>
                    <w:t>需</w:t>
                  </w:r>
                  <w:r>
                    <w:rPr>
                      <w:rFonts w:ascii="楷体" w:hAnsi="楷体" w:cs="楷体" w:eastAsia="楷体"/>
                      <w:b/>
                      <w:sz w:val="24"/>
                    </w:rPr>
                    <w:t>提供第三方检验机构出具的检验报告复印件并加盖供应商公章</w:t>
                  </w:r>
                  <w:r>
                    <w:rPr>
                      <w:rFonts w:ascii="楷体" w:hAnsi="楷体" w:cs="楷体" w:eastAsia="楷体"/>
                      <w:b/>
                      <w:sz w:val="24"/>
                    </w:rPr>
                    <w:t>；</w:t>
                  </w:r>
                  <w:r>
                    <w:rPr>
                      <w:rFonts w:ascii="楷体" w:hAnsi="楷体" w:cs="楷体" w:eastAsia="楷体"/>
                      <w:b/>
                      <w:sz w:val="24"/>
                    </w:rPr>
                    <w:t>带</w:t>
                  </w:r>
                  <w:r>
                    <w:rPr>
                      <w:rFonts w:ascii="楷体" w:hAnsi="楷体" w:cs="楷体" w:eastAsia="楷体"/>
                      <w:b/>
                      <w:sz w:val="24"/>
                    </w:rPr>
                    <w:t>“●”号条款为一般参数条款，投标人若未满足的将根据评分办法规定进行相应扣分处理；</w:t>
                  </w:r>
                  <w:r>
                    <w:rPr>
                      <w:rFonts w:ascii="楷体" w:hAnsi="楷体" w:cs="楷体" w:eastAsia="楷体"/>
                      <w:b/>
                      <w:sz w:val="24"/>
                    </w:rPr>
                    <w:t>带</w:t>
                  </w:r>
                  <w:r>
                    <w:rPr>
                      <w:rFonts w:ascii="楷体" w:hAnsi="楷体" w:cs="楷体" w:eastAsia="楷体"/>
                      <w:b/>
                      <w:sz w:val="24"/>
                    </w:rPr>
                    <w:t>“★”号条款为实质性要求，投标人若未满足的，将被视为无效投标；</w:t>
                  </w:r>
                </w:p>
                <w:p>
                  <w:pPr>
                    <w:pStyle w:val="null3"/>
                    <w:ind w:firstLine="482"/>
                    <w:jc w:val="left"/>
                  </w:pPr>
                  <w:r>
                    <w:rPr>
                      <w:rFonts w:ascii="楷体" w:hAnsi="楷体" w:cs="楷体" w:eastAsia="楷体"/>
                      <w:b/>
                      <w:sz w:val="24"/>
                    </w:rPr>
                    <w:t>②本采购项目核心产品为：</w:t>
                  </w:r>
                  <w:r>
                    <w:rPr>
                      <w:rFonts w:ascii="楷体" w:hAnsi="楷体" w:cs="楷体" w:eastAsia="楷体"/>
                      <w:b/>
                      <w:sz w:val="24"/>
                    </w:rPr>
                    <w:t>轻钢龙骨</w:t>
                  </w:r>
                  <w:r>
                    <w:rPr>
                      <w:rFonts w:ascii="楷体" w:hAnsi="楷体" w:cs="楷体" w:eastAsia="楷体"/>
                      <w:b/>
                      <w:sz w:val="24"/>
                    </w:rPr>
                    <w:t>；</w:t>
                  </w:r>
                </w:p>
                <w:p>
                  <w:pPr>
                    <w:pStyle w:val="null3"/>
                    <w:ind w:firstLine="482"/>
                    <w:jc w:val="left"/>
                  </w:pPr>
                  <w:r>
                    <w:rPr>
                      <w:rFonts w:ascii="楷体" w:hAnsi="楷体" w:cs="楷体" w:eastAsia="楷体"/>
                      <w:b/>
                      <w:sz w:val="24"/>
                    </w:rPr>
                    <w:t>③采购标的名称及所属行业以《标的名称及所属行业》表格为准；</w:t>
                  </w:r>
                </w:p>
                <w:p>
                  <w:pPr>
                    <w:pStyle w:val="null3"/>
                    <w:ind w:firstLine="482"/>
                    <w:jc w:val="left"/>
                  </w:pPr>
                  <w:r>
                    <w:rPr>
                      <w:rFonts w:ascii="楷体" w:hAnsi="楷体" w:cs="楷体" w:eastAsia="楷体"/>
                      <w:b/>
                      <w:sz w:val="24"/>
                    </w:rPr>
                    <w:t>④本次采购的产品，如因习惯或行业惯例在招标文件中未使用法定计量单位，可在投标文件中按习惯或行业惯例使用非法定计量单位，不得以此否定投标文件有效性；</w:t>
                  </w:r>
                </w:p>
                <w:p>
                  <w:pPr>
                    <w:pStyle w:val="null3"/>
                    <w:ind w:firstLine="482"/>
                    <w:jc w:val="left"/>
                  </w:pPr>
                  <w:r>
                    <w:rPr>
                      <w:rFonts w:ascii="楷体" w:hAnsi="楷体" w:cs="楷体" w:eastAsia="楷体"/>
                      <w:b/>
                      <w:sz w:val="24"/>
                    </w:rPr>
                    <w:t>⑤如上表中出现了品牌或型号或产地，则仅供参考，并非指定。投标人可以选用替代的方案，但这种替代整体上要优于或相当于以上相关要求，并提供相应证明；</w:t>
                  </w:r>
                </w:p>
                <w:p>
                  <w:pPr>
                    <w:pStyle w:val="null3"/>
                    <w:ind w:firstLine="482"/>
                    <w:jc w:val="left"/>
                  </w:pPr>
                  <w:r>
                    <w:rPr>
                      <w:rFonts w:ascii="楷体" w:hAnsi="楷体" w:cs="楷体" w:eastAsia="楷体"/>
                      <w:b/>
                      <w:sz w:val="24"/>
                    </w:rPr>
                    <w:t>⑥如涉及到固定尺寸、容积、重量等量化参数在无具体偏差要求时则允许±3%的偏差，如与国标不符则以国标为准；如参数中尺寸、容积、重量等量化参数为固定值或者指定材料供应地的，明显指向某一款产品，则供应商可提供更有利于采购人的产品，并非指定只能提供该参数的产品，量化评分时视为正偏离。</w:t>
                  </w:r>
                </w:p>
              </w:tc>
            </w:tr>
          </w:tbl>
          <w:p>
            <w:pPr>
              <w:pStyle w:val="null3"/>
              <w:jc w:val="both"/>
            </w:pPr>
            <w:r>
              <w:rPr>
                <w:rFonts w:ascii="宋体" w:hAnsi="宋体" w:cs="宋体" w:eastAsia="宋体"/>
                <w:b/>
                <w:sz w:val="24"/>
              </w:rPr>
              <w:t>★</w:t>
            </w:r>
            <w:r>
              <w:rPr>
                <w:rFonts w:ascii="楷体" w:hAnsi="楷体" w:cs="楷体" w:eastAsia="楷体"/>
                <w:b/>
                <w:sz w:val="24"/>
              </w:rPr>
              <w:t>三</w:t>
            </w:r>
            <w:r>
              <w:rPr>
                <w:rFonts w:ascii="楷体" w:hAnsi="楷体" w:cs="楷体" w:eastAsia="楷体"/>
                <w:b/>
                <w:sz w:val="24"/>
              </w:rPr>
              <w:t>、质量要求</w:t>
            </w:r>
          </w:p>
          <w:p>
            <w:pPr>
              <w:pStyle w:val="null3"/>
              <w:ind w:firstLine="480"/>
              <w:jc w:val="left"/>
            </w:pPr>
            <w:r>
              <w:rPr>
                <w:rFonts w:ascii="楷体" w:hAnsi="楷体" w:cs="楷体" w:eastAsia="楷体"/>
                <w:color w:val="000000"/>
                <w:sz w:val="24"/>
              </w:rPr>
              <w:t>1</w:t>
            </w:r>
            <w:r>
              <w:rPr>
                <w:rFonts w:ascii="楷体" w:hAnsi="楷体" w:cs="楷体" w:eastAsia="楷体"/>
                <w:color w:val="000000"/>
                <w:sz w:val="24"/>
              </w:rPr>
              <w:t>、</w:t>
            </w:r>
            <w:r>
              <w:rPr>
                <w:rFonts w:ascii="楷体" w:hAnsi="楷体" w:cs="楷体" w:eastAsia="楷体"/>
                <w:color w:val="000000"/>
                <w:sz w:val="24"/>
              </w:rPr>
              <w:t>供应商</w:t>
            </w:r>
            <w:r>
              <w:rPr>
                <w:rFonts w:ascii="楷体" w:hAnsi="楷体" w:cs="楷体" w:eastAsia="楷体"/>
                <w:color w:val="000000"/>
                <w:sz w:val="24"/>
              </w:rPr>
              <w:t>须提供全新的货物，表面无划伤、无碰撞痕迹，且权属清楚，不得侵害他人的知识产权，并按照相关要求包装完好。</w:t>
            </w:r>
          </w:p>
          <w:p>
            <w:pPr>
              <w:pStyle w:val="null3"/>
              <w:ind w:firstLine="480"/>
              <w:jc w:val="left"/>
            </w:pPr>
            <w:r>
              <w:rPr>
                <w:rFonts w:ascii="楷体" w:hAnsi="楷体" w:cs="楷体" w:eastAsia="楷体"/>
                <w:color w:val="000000"/>
                <w:sz w:val="24"/>
              </w:rPr>
              <w:t>2</w:t>
            </w:r>
            <w:r>
              <w:rPr>
                <w:rFonts w:ascii="楷体" w:hAnsi="楷体" w:cs="楷体" w:eastAsia="楷体"/>
                <w:color w:val="000000"/>
                <w:sz w:val="24"/>
              </w:rPr>
              <w:t>、投标产品必须符合或优于国家</w:t>
            </w:r>
            <w:r>
              <w:rPr>
                <w:rFonts w:ascii="楷体" w:hAnsi="楷体" w:cs="楷体" w:eastAsia="楷体"/>
                <w:color w:val="000000"/>
                <w:sz w:val="24"/>
              </w:rPr>
              <w:t>(行业)标准、地方标准或者其他标准、规范要求。</w:t>
            </w:r>
          </w:p>
          <w:p>
            <w:pPr>
              <w:pStyle w:val="null3"/>
              <w:ind w:firstLine="480"/>
              <w:jc w:val="left"/>
            </w:pPr>
            <w:r>
              <w:rPr>
                <w:rFonts w:ascii="楷体" w:hAnsi="楷体" w:cs="楷体" w:eastAsia="楷体"/>
                <w:color w:val="000000"/>
                <w:sz w:val="24"/>
              </w:rPr>
              <w:t>3</w:t>
            </w:r>
            <w:r>
              <w:rPr>
                <w:rFonts w:ascii="楷体" w:hAnsi="楷体" w:cs="楷体" w:eastAsia="楷体"/>
                <w:color w:val="000000"/>
                <w:sz w:val="24"/>
              </w:rPr>
              <w:t>、货物制造质量出现问题，</w:t>
            </w:r>
            <w:r>
              <w:rPr>
                <w:rFonts w:ascii="楷体" w:hAnsi="楷体" w:cs="楷体" w:eastAsia="楷体"/>
                <w:color w:val="000000"/>
                <w:sz w:val="24"/>
              </w:rPr>
              <w:t>供应商</w:t>
            </w:r>
            <w:r>
              <w:rPr>
                <w:rFonts w:ascii="楷体" w:hAnsi="楷体" w:cs="楷体" w:eastAsia="楷体"/>
                <w:color w:val="000000"/>
                <w:sz w:val="24"/>
              </w:rPr>
              <w:t>应负责三包</w:t>
            </w:r>
            <w:r>
              <w:rPr>
                <w:rFonts w:ascii="楷体" w:hAnsi="楷体" w:cs="楷体" w:eastAsia="楷体"/>
                <w:color w:val="000000"/>
                <w:sz w:val="24"/>
              </w:rPr>
              <w:t>(包维护、包换、包退)，费用由</w:t>
            </w:r>
            <w:r>
              <w:rPr>
                <w:rFonts w:ascii="楷体" w:hAnsi="楷体" w:cs="楷体" w:eastAsia="楷体"/>
                <w:color w:val="000000"/>
                <w:sz w:val="24"/>
              </w:rPr>
              <w:t>供应商</w:t>
            </w:r>
            <w:r>
              <w:rPr>
                <w:rFonts w:ascii="楷体" w:hAnsi="楷体" w:cs="楷体" w:eastAsia="楷体"/>
                <w:color w:val="000000"/>
                <w:sz w:val="24"/>
              </w:rPr>
              <w:t>负担。</w:t>
            </w:r>
          </w:p>
          <w:p>
            <w:pPr>
              <w:pStyle w:val="null3"/>
              <w:ind w:firstLine="480"/>
              <w:jc w:val="left"/>
            </w:pPr>
            <w:r>
              <w:rPr>
                <w:rFonts w:ascii="楷体" w:hAnsi="楷体" w:cs="楷体" w:eastAsia="楷体"/>
                <w:color w:val="000000"/>
                <w:sz w:val="24"/>
              </w:rPr>
              <w:t>4</w:t>
            </w:r>
            <w:r>
              <w:rPr>
                <w:rFonts w:ascii="楷体" w:hAnsi="楷体" w:cs="楷体" w:eastAsia="楷体"/>
                <w:color w:val="000000"/>
                <w:sz w:val="24"/>
              </w:rPr>
              <w:t>、质量符合国家相关规范要求、</w:t>
            </w:r>
            <w:r>
              <w:rPr>
                <w:rFonts w:ascii="楷体" w:hAnsi="楷体" w:cs="楷体" w:eastAsia="楷体"/>
                <w:color w:val="000000"/>
                <w:sz w:val="24"/>
              </w:rPr>
              <w:t>磋商文件</w:t>
            </w:r>
            <w:r>
              <w:rPr>
                <w:rFonts w:ascii="楷体" w:hAnsi="楷体" w:cs="楷体" w:eastAsia="楷体"/>
                <w:color w:val="000000"/>
                <w:sz w:val="24"/>
              </w:rPr>
              <w:t>要求及</w:t>
            </w:r>
            <w:r>
              <w:rPr>
                <w:rFonts w:ascii="楷体" w:hAnsi="楷体" w:cs="楷体" w:eastAsia="楷体"/>
                <w:color w:val="000000"/>
                <w:sz w:val="24"/>
              </w:rPr>
              <w:t>响应文件</w:t>
            </w:r>
            <w:r>
              <w:rPr>
                <w:rFonts w:ascii="楷体" w:hAnsi="楷体" w:cs="楷体" w:eastAsia="楷体"/>
                <w:color w:val="000000"/>
                <w:sz w:val="24"/>
              </w:rPr>
              <w:t>响应条款，如有不一致的地方以有利于采购人的要求为准。</w:t>
            </w:r>
          </w:p>
          <w:p>
            <w:pPr>
              <w:pStyle w:val="null3"/>
              <w:jc w:val="left"/>
            </w:pPr>
            <w:r>
              <w:rPr>
                <w:rFonts w:ascii="楷体" w:hAnsi="楷体" w:cs="楷体" w:eastAsia="楷体"/>
                <w:b/>
                <w:color w:val="000000"/>
                <w:sz w:val="24"/>
              </w:rPr>
              <w:t>四</w:t>
            </w:r>
            <w:r>
              <w:rPr>
                <w:rFonts w:ascii="楷体" w:hAnsi="楷体" w:cs="楷体" w:eastAsia="楷体"/>
                <w:b/>
                <w:color w:val="000000"/>
                <w:sz w:val="24"/>
              </w:rPr>
              <w:t>、履约要求</w:t>
            </w:r>
          </w:p>
          <w:p>
            <w:pPr>
              <w:pStyle w:val="null3"/>
              <w:ind w:firstLine="600"/>
              <w:jc w:val="left"/>
            </w:pPr>
            <w:r>
              <w:rPr>
                <w:rFonts w:ascii="楷体" w:hAnsi="楷体" w:cs="楷体" w:eastAsia="楷体"/>
                <w:color w:val="000000"/>
                <w:sz w:val="24"/>
              </w:rPr>
              <w:t>1、实施能力：</w:t>
            </w:r>
          </w:p>
          <w:p>
            <w:pPr>
              <w:pStyle w:val="null3"/>
              <w:ind w:firstLine="600"/>
              <w:jc w:val="left"/>
            </w:pPr>
            <w:r>
              <w:rPr>
                <w:rFonts w:ascii="楷体" w:hAnsi="楷体" w:cs="楷体" w:eastAsia="楷体"/>
                <w:color w:val="000000"/>
                <w:sz w:val="24"/>
              </w:rPr>
              <w:t>（</w:t>
            </w:r>
            <w:r>
              <w:rPr>
                <w:rFonts w:ascii="楷体" w:hAnsi="楷体" w:cs="楷体" w:eastAsia="楷体"/>
                <w:color w:val="000000"/>
                <w:sz w:val="24"/>
              </w:rPr>
              <w:t>1）拟投入本项目人员配置及专业技术能力(团队组成、分工协作、专业能力证明等)；</w:t>
            </w:r>
          </w:p>
          <w:p>
            <w:pPr>
              <w:pStyle w:val="null3"/>
              <w:ind w:firstLine="480"/>
              <w:jc w:val="left"/>
            </w:pPr>
            <w:r>
              <w:rPr>
                <w:rFonts w:ascii="楷体" w:hAnsi="楷体" w:cs="楷体" w:eastAsia="楷体"/>
                <w:color w:val="000000"/>
                <w:sz w:val="24"/>
              </w:rPr>
              <w:t>（</w:t>
            </w:r>
            <w:r>
              <w:rPr>
                <w:rFonts w:ascii="楷体" w:hAnsi="楷体" w:cs="楷体" w:eastAsia="楷体"/>
                <w:color w:val="000000"/>
                <w:sz w:val="24"/>
              </w:rPr>
              <w:t>2）</w:t>
            </w:r>
            <w:r>
              <w:rPr>
                <w:rFonts w:ascii="楷体" w:hAnsi="楷体" w:cs="楷体" w:eastAsia="楷体"/>
                <w:color w:val="000000"/>
                <w:sz w:val="24"/>
              </w:rPr>
              <w:t>供应商</w:t>
            </w:r>
            <w:r>
              <w:rPr>
                <w:rFonts w:ascii="楷体" w:hAnsi="楷体" w:cs="楷体" w:eastAsia="楷体"/>
                <w:color w:val="000000"/>
                <w:sz w:val="24"/>
              </w:rPr>
              <w:t>针对本项目提供务实可行的增值服务措施或有利于采购人的服务承诺等。</w:t>
            </w:r>
          </w:p>
          <w:p>
            <w:pPr>
              <w:pStyle w:val="null3"/>
              <w:ind w:firstLine="480"/>
              <w:jc w:val="both"/>
            </w:pPr>
            <w:r>
              <w:rPr>
                <w:rFonts w:ascii="楷体" w:hAnsi="楷体" w:cs="楷体" w:eastAsia="楷体"/>
                <w:color w:val="000000"/>
                <w:sz w:val="24"/>
              </w:rPr>
              <w:t>（</w:t>
            </w:r>
            <w:r>
              <w:rPr>
                <w:rFonts w:ascii="楷体" w:hAnsi="楷体" w:cs="楷体" w:eastAsia="楷体"/>
                <w:color w:val="000000"/>
                <w:sz w:val="24"/>
              </w:rPr>
              <w:t>3</w:t>
            </w:r>
            <w:r>
              <w:rPr>
                <w:rFonts w:ascii="楷体" w:hAnsi="楷体" w:cs="楷体" w:eastAsia="楷体"/>
                <w:color w:val="000000"/>
                <w:sz w:val="24"/>
              </w:rPr>
              <w:t>）</w:t>
            </w:r>
            <w:r>
              <w:rPr>
                <w:rFonts w:ascii="楷体" w:hAnsi="楷体" w:cs="楷体" w:eastAsia="楷体"/>
                <w:color w:val="000000"/>
                <w:sz w:val="24"/>
              </w:rPr>
              <w:t>供应商完成供应期限、售后服务、付款方式等。</w:t>
            </w:r>
          </w:p>
          <w:p>
            <w:pPr>
              <w:pStyle w:val="null3"/>
              <w:ind w:firstLine="600"/>
              <w:jc w:val="left"/>
            </w:pPr>
            <w:r>
              <w:rPr>
                <w:rFonts w:ascii="楷体" w:hAnsi="楷体" w:cs="楷体" w:eastAsia="楷体"/>
                <w:color w:val="000000"/>
                <w:sz w:val="24"/>
              </w:rPr>
              <w:t>2、实施方案：</w:t>
            </w:r>
          </w:p>
          <w:p>
            <w:pPr>
              <w:pStyle w:val="null3"/>
              <w:ind w:firstLine="480"/>
              <w:jc w:val="left"/>
            </w:pPr>
            <w:r>
              <w:rPr>
                <w:rFonts w:ascii="楷体" w:hAnsi="楷体" w:cs="楷体" w:eastAsia="楷体"/>
                <w:color w:val="000000"/>
                <w:sz w:val="24"/>
              </w:rPr>
              <w:t>（</w:t>
            </w:r>
            <w:r>
              <w:rPr>
                <w:rFonts w:ascii="楷体" w:hAnsi="楷体" w:cs="楷体" w:eastAsia="楷体"/>
                <w:color w:val="000000"/>
                <w:sz w:val="24"/>
              </w:rPr>
              <w:t>1）项目实施方案应包含：</w:t>
            </w:r>
            <w:r>
              <w:rPr>
                <w:rFonts w:ascii="楷体" w:hAnsi="楷体" w:cs="楷体" w:eastAsia="楷体"/>
                <w:color w:val="000000"/>
                <w:sz w:val="24"/>
              </w:rPr>
              <w:t>①货源组织及运输方案；②项目管理人员配置及内控制度；</w:t>
            </w:r>
            <w:r>
              <w:rPr>
                <w:rFonts w:ascii="宋体" w:hAnsi="宋体" w:cs="宋体" w:eastAsia="宋体"/>
                <w:color w:val="000000"/>
                <w:sz w:val="24"/>
              </w:rPr>
              <w:t>③</w:t>
            </w:r>
            <w:r>
              <w:rPr>
                <w:rFonts w:ascii="楷体" w:hAnsi="楷体" w:cs="楷体" w:eastAsia="楷体"/>
                <w:sz w:val="24"/>
              </w:rPr>
              <w:t>质量</w:t>
            </w:r>
            <w:r>
              <w:rPr>
                <w:rFonts w:ascii="楷体" w:hAnsi="楷体" w:cs="楷体" w:eastAsia="楷体"/>
                <w:sz w:val="24"/>
              </w:rPr>
              <w:t>保障</w:t>
            </w:r>
            <w:r>
              <w:rPr>
                <w:rFonts w:ascii="楷体" w:hAnsi="楷体" w:cs="楷体" w:eastAsia="楷体"/>
                <w:sz w:val="24"/>
              </w:rPr>
              <w:t>措施</w:t>
            </w:r>
            <w:r>
              <w:rPr>
                <w:rFonts w:ascii="楷体" w:hAnsi="楷体" w:cs="楷体" w:eastAsia="楷体"/>
                <w:sz w:val="24"/>
              </w:rPr>
              <w:t>；</w:t>
            </w:r>
            <w:r>
              <w:rPr>
                <w:rFonts w:ascii="宋体" w:hAnsi="宋体" w:cs="宋体" w:eastAsia="宋体"/>
                <w:sz w:val="24"/>
              </w:rPr>
              <w:t>④</w:t>
            </w:r>
            <w:r>
              <w:rPr>
                <w:rFonts w:ascii="楷体" w:hAnsi="楷体" w:cs="楷体" w:eastAsia="楷体"/>
                <w:color w:val="000000"/>
                <w:sz w:val="24"/>
              </w:rPr>
              <w:t>进度安排及保障措施；</w:t>
            </w:r>
            <w:r>
              <w:rPr>
                <w:rFonts w:ascii="宋体" w:hAnsi="宋体" w:cs="宋体" w:eastAsia="宋体"/>
                <w:color w:val="000000"/>
                <w:sz w:val="24"/>
              </w:rPr>
              <w:t>⑤</w:t>
            </w:r>
            <w:r>
              <w:rPr>
                <w:rFonts w:ascii="楷体" w:hAnsi="楷体" w:cs="楷体" w:eastAsia="楷体"/>
                <w:color w:val="000000"/>
                <w:sz w:val="24"/>
              </w:rPr>
              <w:t>货物安装</w:t>
            </w:r>
            <w:r>
              <w:rPr>
                <w:rFonts w:ascii="楷体" w:hAnsi="楷体" w:cs="楷体" w:eastAsia="楷体"/>
                <w:color w:val="000000"/>
                <w:sz w:val="24"/>
              </w:rPr>
              <w:t>方案；</w:t>
            </w:r>
            <w:r>
              <w:rPr>
                <w:rFonts w:ascii="宋体" w:hAnsi="宋体" w:cs="宋体" w:eastAsia="宋体"/>
                <w:color w:val="000000"/>
                <w:sz w:val="24"/>
              </w:rPr>
              <w:t>⑥</w:t>
            </w:r>
            <w:r>
              <w:rPr>
                <w:rFonts w:ascii="楷体" w:hAnsi="楷体" w:cs="楷体" w:eastAsia="楷体"/>
                <w:color w:val="000000"/>
                <w:sz w:val="24"/>
              </w:rPr>
              <w:t>应急处理预案；</w:t>
            </w:r>
            <w:r>
              <w:rPr>
                <w:rFonts w:ascii="仿宋" w:hAnsi="仿宋" w:cs="仿宋" w:eastAsia="仿宋"/>
                <w:color w:val="000000"/>
                <w:sz w:val="24"/>
              </w:rPr>
              <w:t>⑦</w:t>
            </w:r>
            <w:r>
              <w:rPr>
                <w:rFonts w:ascii="楷体" w:hAnsi="楷体" w:cs="楷体" w:eastAsia="楷体"/>
                <w:color w:val="000000"/>
                <w:sz w:val="24"/>
              </w:rPr>
              <w:t>项目</w:t>
            </w:r>
            <w:r>
              <w:rPr>
                <w:rFonts w:ascii="楷体" w:hAnsi="楷体" w:cs="楷体" w:eastAsia="楷体"/>
                <w:color w:val="000000"/>
                <w:sz w:val="24"/>
              </w:rPr>
              <w:t>实施重难点分析</w:t>
            </w:r>
            <w:r>
              <w:rPr>
                <w:rFonts w:ascii="楷体" w:hAnsi="楷体" w:cs="楷体" w:eastAsia="楷体"/>
                <w:color w:val="000000"/>
                <w:sz w:val="24"/>
              </w:rPr>
              <w:t>等内容。</w:t>
            </w:r>
          </w:p>
          <w:p>
            <w:pPr>
              <w:pStyle w:val="null3"/>
              <w:ind w:firstLine="480"/>
              <w:jc w:val="left"/>
            </w:pPr>
            <w:r>
              <w:rPr>
                <w:rFonts w:ascii="楷体" w:hAnsi="楷体" w:cs="楷体" w:eastAsia="楷体"/>
                <w:color w:val="000000"/>
                <w:sz w:val="24"/>
              </w:rPr>
              <w:t>（</w:t>
            </w:r>
            <w:r>
              <w:rPr>
                <w:rFonts w:ascii="楷体" w:hAnsi="楷体" w:cs="楷体" w:eastAsia="楷体"/>
                <w:color w:val="000000"/>
                <w:sz w:val="24"/>
              </w:rPr>
              <w:t>2</w:t>
            </w:r>
            <w:r>
              <w:rPr>
                <w:rFonts w:ascii="楷体" w:hAnsi="楷体" w:cs="楷体" w:eastAsia="楷体"/>
                <w:color w:val="000000"/>
                <w:sz w:val="24"/>
              </w:rPr>
              <w:t>）售后服务方案应包含：</w:t>
            </w:r>
            <w:r>
              <w:rPr>
                <w:rFonts w:ascii="楷体" w:hAnsi="楷体" w:cs="楷体" w:eastAsia="楷体"/>
                <w:color w:val="000000"/>
                <w:sz w:val="24"/>
              </w:rPr>
              <w:t>①售后服务体系及人员安排计划；②常见问题及处理方案；③</w:t>
            </w:r>
            <w:r>
              <w:rPr>
                <w:rFonts w:ascii="楷体" w:hAnsi="楷体" w:cs="楷体" w:eastAsia="楷体"/>
                <w:color w:val="000000"/>
                <w:sz w:val="24"/>
              </w:rPr>
              <w:t>维修维护及保养措施</w:t>
            </w:r>
            <w:r>
              <w:rPr>
                <w:rFonts w:ascii="楷体" w:hAnsi="楷体" w:cs="楷体" w:eastAsia="楷体"/>
                <w:color w:val="000000"/>
                <w:sz w:val="24"/>
              </w:rPr>
              <w:t>；</w:t>
            </w:r>
            <w:r>
              <w:rPr>
                <w:rFonts w:ascii="楷体" w:hAnsi="楷体" w:cs="楷体" w:eastAsia="楷体"/>
                <w:color w:val="000000"/>
                <w:sz w:val="24"/>
              </w:rPr>
              <w:t>④备品备件供应计划等内容。</w:t>
            </w:r>
          </w:p>
          <w:p>
            <w:pPr>
              <w:pStyle w:val="null3"/>
              <w:ind w:firstLine="480"/>
              <w:jc w:val="left"/>
            </w:pPr>
            <w:r>
              <w:rPr>
                <w:rFonts w:ascii="楷体" w:hAnsi="楷体" w:cs="楷体" w:eastAsia="楷体"/>
                <w:color w:val="000000"/>
                <w:sz w:val="24"/>
              </w:rPr>
              <w:t>3、</w:t>
            </w:r>
            <w:r>
              <w:rPr>
                <w:rFonts w:ascii="楷体" w:hAnsi="楷体" w:cs="楷体" w:eastAsia="楷体"/>
                <w:color w:val="000000"/>
                <w:sz w:val="24"/>
              </w:rPr>
              <w:t>供应商</w:t>
            </w:r>
            <w:r>
              <w:rPr>
                <w:rFonts w:ascii="楷体" w:hAnsi="楷体" w:cs="楷体" w:eastAsia="楷体"/>
                <w:color w:val="000000"/>
                <w:sz w:val="24"/>
              </w:rPr>
              <w:t>根据本项目实际情况提供履约能力证明材料及有利于项目实施的建议或承诺。</w:t>
            </w:r>
          </w:p>
        </w:tc>
      </w:tr>
    </w:tbl>
    <w:p>
      <w:pPr>
        <w:pStyle w:val="null3"/>
        <w:outlineLvl w:val="2"/>
      </w:pPr>
      <w:r>
        <w:rPr>
          <w:b/>
          <w:sz w:val="28"/>
        </w:rPr>
        <w:t>3.4商务要求</w:t>
      </w:r>
    </w:p>
    <w:p>
      <w:pPr>
        <w:pStyle w:val="null3"/>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 xml:space="preserve"> 自合同签订之日起20日</w:t>
      </w:r>
    </w:p>
    <w:p>
      <w:pPr>
        <w:pStyle w:val="null3"/>
        <w:outlineLvl w:val="3"/>
      </w:pPr>
      <w:r>
        <w:rPr>
          <w:b/>
          <w:sz w:val="24"/>
        </w:rPr>
        <w:t>3.4.2交货地点和方式</w:t>
      </w:r>
    </w:p>
    <w:p>
      <w:pPr>
        <w:pStyle w:val="null3"/>
      </w:pPr>
    </w:p>
    <w:p>
      <w:pPr>
        <w:pStyle w:val="null3"/>
      </w:pPr>
    </w:p>
    <w:p>
      <w:pPr>
        <w:pStyle w:val="null3"/>
      </w:pPr>
    </w:p>
    <w:p>
      <w:pPr>
        <w:pStyle w:val="null3"/>
      </w:pPr>
      <w:r>
        <w:rPr/>
        <w:t>采购包1：</w:t>
      </w:r>
    </w:p>
    <w:p>
      <w:pPr>
        <w:pStyle w:val="null3"/>
      </w:pPr>
      <w:r>
        <w:rPr/>
        <w:t>采购人指定地点</w:t>
      </w:r>
    </w:p>
    <w:p>
      <w:pPr>
        <w:pStyle w:val="null3"/>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分期付款</w:t>
      </w:r>
    </w:p>
    <w:p>
      <w:pPr>
        <w:pStyle w:val="null3"/>
        <w:outlineLvl w:val="3"/>
      </w:pPr>
      <w:r>
        <w:rPr>
          <w:b/>
          <w:sz w:val="24"/>
        </w:rPr>
        <w:t>3.4.4支付约定</w:t>
      </w:r>
    </w:p>
    <w:p>
      <w:pPr>
        <w:pStyle w:val="null3"/>
      </w:pPr>
    </w:p>
    <w:p>
      <w:pPr>
        <w:pStyle w:val="null3"/>
      </w:pPr>
    </w:p>
    <w:p>
      <w:pPr>
        <w:pStyle w:val="null3"/>
      </w:pP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全部采购货物送达现场安装完毕且验收合格后，具体以合同约定为准</w:t>
      </w:r>
      <w:r>
        <w:rPr/>
        <w:t xml:space="preserve"> ，达到付款条件起 </w:t>
      </w:r>
      <w:r>
        <w:rPr/>
        <w:t>10</w:t>
      </w:r>
      <w:r>
        <w:rPr/>
        <w:t xml:space="preserve"> 日内，支付合同总金额的 </w:t>
      </w:r>
      <w:r>
        <w:rPr/>
        <w:t>70.00</w:t>
      </w:r>
      <w:r>
        <w:rPr/>
        <w:t>%。</w:t>
      </w:r>
    </w:p>
    <w:p>
      <w:pPr>
        <w:pStyle w:val="null3"/>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1、验收标准：以本项目磋商文件、成交供应商响应文件及相关行业标准及《财政部关于进一步加强政府采购需求和履约验收管理的指导意见》（财库〔2016〕205号）、《政府采购需求管理办法》（财库〔2021〕22 号）文件等相关规定为准。 2、按国家有关规定以及采购人磋商文件的质量要求和技术指标、成交供应商的响应文件及承诺与本合同约定标准进行验收；双方如对质量要求和技术指标的约定标准有相互抵触或异议的事项，由采购人在采购与响应文件中按质量要求和技术指标比较优胜的原则确定该项的约定标准进行验收。 3、成交供应商必须保证所供货物的质量、安全；成交供应商承担运输的风险，所产生费用由成交供应商自行承担。采购人接收安装调试完成验收合格的产品，成交供应商安装调试完成，经采购人验收合格前的法律风险由成交供应商自行承担。</w:t>
      </w:r>
    </w:p>
    <w:p>
      <w:pPr>
        <w:pStyle w:val="null3"/>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1、成交供应商针对本项目提供1年的质保期。在质保期内，成交供应商应提供7×24小时的技术支持服务。质保期内如出现质量问题，成交供应商接到采购人反应产品问题电话响应时间不超过10分钟，问题处理人员须24小时内到达项目所在地，48小时内完成问题处理，如成交供应商未按照本条约定履行售后服务义务，采购人有权让第三方进场实施，相关费用由成交供应商承担。</w:t>
      </w:r>
    </w:p>
    <w:p>
      <w:pPr>
        <w:pStyle w:val="null3"/>
        <w:outlineLvl w:val="3"/>
      </w:pPr>
      <w:r>
        <w:rPr>
          <w:b/>
          <w:sz w:val="24"/>
        </w:rPr>
        <w:t>3.4.8违约责任与解决争议的方法</w:t>
      </w:r>
    </w:p>
    <w:p>
      <w:pPr>
        <w:pStyle w:val="null3"/>
      </w:pPr>
    </w:p>
    <w:p>
      <w:pPr>
        <w:pStyle w:val="null3"/>
      </w:pPr>
    </w:p>
    <w:p>
      <w:pPr>
        <w:pStyle w:val="null3"/>
      </w:pPr>
    </w:p>
    <w:p>
      <w:pPr>
        <w:pStyle w:val="null3"/>
      </w:pPr>
      <w:r>
        <w:rPr/>
        <w:t>采购包1：</w:t>
      </w:r>
    </w:p>
    <w:p>
      <w:pPr>
        <w:pStyle w:val="null3"/>
      </w:pPr>
      <w:r>
        <w:rPr/>
        <w:t>一、违约责任： 1、成交供应商必须遵守采购合同并执行合同中的各项规定，保证采购合同的正常履行。 ★2、成交供应商应当遵守采购人的相关项目需求及相关技术要求及实质性条款，实施完成采购合同应当完全满足相关项目需求及相关技术要求及实质性条款，若成交供应商瑕疵履行采购合同，采购人有权向成交供应商要求赔偿违约金（约定违约金+实际损失），若造成相关损失的，采购人有权要求成交供应商承担所有赔偿责任（以合同约定为准）。 3、有下列情形之一的，当事人可解除合同： （1）实施期间发生不可抗力，成交供应商应当立即书面通知采购人，并提供政府相关部门出具证明原件，合同是否履行由采购人综合评判。 （2）当事人一方迟延履行主要债务，经催告后在合理期限内仍未履行； （3）成交供应商质量存在问题，致使合同不能履行； （4）法律规定或合同约定的其他情形。 二、解决争议的方法： 1、因所投产品质量问题发生争议，由采购人指定的第三方机构进行质量鉴定，鉴定费由成交供应商承担。 ★2、合同履行期间，若双方发生争议，可协商或由有关部门调解解决，协商或调解不成的，由项目所在法院管辖。违约方自愿承担守约方主张权益必要性花费（包括不限于律师费、诉讼费、评估费、交通费等）。供应商须单项承诺。 3、在诉讼期间，除正在进行诉讼部分外，合同其他部分继续执行。</w:t>
      </w:r>
    </w:p>
    <w:p>
      <w:pPr>
        <w:pStyle w:val="null3"/>
        <w:jc w:val="left"/>
        <w:outlineLvl w:val="2"/>
      </w:pPr>
      <w:r>
        <w:rPr>
          <w:b/>
          <w:sz w:val="28"/>
        </w:rPr>
        <w:t>3.5其他要求</w:t>
      </w:r>
    </w:p>
    <w:p>
      <w:pPr>
        <w:pStyle w:val="null3"/>
      </w:pPr>
    </w:p>
    <w:p>
      <w:pPr>
        <w:pStyle w:val="null3"/>
      </w:pPr>
    </w:p>
    <w:p>
      <w:pPr>
        <w:pStyle w:val="null3"/>
      </w:pPr>
      <w:r>
        <w:rPr/>
        <w:t>一、其他商务要求： ★1、关于报价：本项目报价为人民币报价。报价包括但不限于：货物的采购、运输、安装、税费、保险、利润和各种风险等在内的一切费用。采购人不再额外支付任何费用。 ★2、成交供应商的每批次货物到达现场须通过采购人初验，初验过程中，采购人可采取抽样送检，送检的样品参数或技术质量达不到磋商文件及响应文件技术要求或国家相关技术规范要求的（技术标准若不一致的以有利于采购人为准），则需无条件再次运送抽检的本批次的相同数量的质量合格产品到现场，合格产品到了现场后再运回本批次不合格产品。更换的经济损失责任和时间责任由供应商负责。具体约定以合同为准。 ★3、在履行合同过程中，由成交供应商自行负责和承担相关安全责任，采购人不承担任何安全责任，也不承担发生安全事故产生的任何责任。由供应商负责运输，并承担相关费用。 ★4、供应商应保证所提供的服务或其任何一部分均不会侵犯任何第三方的专利权、商标权或著作权（本项目所投产品如涉及国家3C强制认证产品的，投标时应提供3C认证证书复印件或相关承诺）。 二、其他约定： 1、所有货物安装调试完成验收合格交付采购人之前引发安全事故的，由成交供应商负全责，采购入不承担任何责任，交付之后因供应物品引起的安全事故由成交供应商承担相关责任。采购人有权追究其相应的法律责任。成交供应商应接受采购人或相关职能部门的监督、管理，遵守各项制度、规定。 2、成交供应商签订合同后至建设期结束前，响应文件中载明的现场管理人员须在现场，人员不可更换，项目禁止转包和分包（包括不限于劳务分包），相关监督职能部门将不定期进行检查，如违反采购人所在当地政府的项目管理规定制度的，将按相关对应细则进行处罚。本款供应商须单独承诺，无承诺将作废标处理。 3、如项目实施过程中，发生的一切事故（包括不限于安全事故、交通事故等），由供应商负相关责任，采购入不负任何责任。 4、成交供应商不按约的期限供应采购商品，采购人有权单方解除合同，要求成交供应商退还已付的全部款项，并向采购人支付签约总价30%的违约金。 三、其他实质性要求： ★1、投标人须承诺在本次投标之前一周年内，投标人本次投标中对同一品牌同一型号相同配置的产品报价与其在中国境内其他地方的最低报价比例不得高于20%（投标人须单独承诺）。 ★2、投标人承诺给予招标采购单位的各种优惠条件(如有，优惠条件事项不能包括采购对象和非采购对象。投标人不能以“赠送、赠予”等任何名义提供货物和服务以规避磋商文件的约束。否则，投标人提供的响应文件将作为无效投标处理，即使成交也将取消成交资格)(如涉及优惠条件时提供承诺函)。 ★3、国家或行业主管部门对采购产品的技术标准、质量标准和资格资质条件等有强制性规定的，必须符合其要求。 注：①本章带“★”号条款为实质性要求，供应商若未满足的，将被视为无效响应； ②本项目涉及企业资质、产品认证、人员执业资格、规范标准等描述与国家最新要求不一致时以最新要求为准； ③不发达地区或少数民族地区企业享有在同等条件下优先获得中标人或成交人推荐资格。</w:t>
      </w:r>
    </w:p>
    <w:p>
      <w:pPr>
        <w:pStyle w:val="null3"/>
      </w:pPr>
    </w:p>
    <w:p>
      <w:pPr>
        <w:pStyle w:val="null3"/>
      </w:pPr>
      <w:r>
        <w:rPr/>
        <w:t xml:space="preserve"> </w:t>
      </w:r>
    </w:p>
    <w:p>
      <w:pPr>
        <w:pStyle w:val="null3"/>
        <w:jc w:val="center"/>
        <w:outlineLvl w:val="1"/>
      </w:pPr>
      <w:r>
        <w:rPr>
          <w:b/>
          <w:sz w:val="36"/>
        </w:rPr>
        <w:t>第四章 磋商过程中可实质性变动的内容</w:t>
      </w:r>
    </w:p>
    <w:p>
      <w:pPr>
        <w:pStyle w:val="null3"/>
        <w:ind w:firstLine="480"/>
      </w:pPr>
      <w:r>
        <w:rPr/>
        <w:t xml:space="preserve"> 磋商小组可以根据磋商文件和磋商情况实质性变动第三章“磋商项目技术、服务、商务及其他要求”、第七章“拟签订采购合同文本”，但不得变动磋商文件中的其他内容。实质性变动的内容，须经采购人代表确认。</w:t>
      </w:r>
    </w:p>
    <w:p>
      <w:pPr>
        <w:pStyle w:val="null3"/>
        <w:jc w:val="center"/>
        <w:outlineLvl w:val="1"/>
      </w:pPr>
      <w:r>
        <w:rPr>
          <w:b/>
          <w:sz w:val="36"/>
        </w:rPr>
        <w:t>第五章 磋商办法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竞争性磋商采购方式管理暂行办法》《四川省政府采购评审工作规程（修订）》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5.2 磋商小组</w:t>
      </w:r>
    </w:p>
    <w:p>
      <w:pPr>
        <w:pStyle w:val="null3"/>
        <w:ind w:firstLine="480"/>
      </w:pPr>
      <w:r>
        <w:rPr/>
        <w:t xml:space="preserve"> 一、本项目磋商小组成员人数应为三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pPr>
      <w:r>
        <w:rPr/>
        <w:t xml:space="preserve"> 二、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三、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四、磋商小组按照磋商文件规定的磋商程序、评分方法和标准进行评审，并独立履行下列职责：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5.3评审程序</w:t>
      </w:r>
    </w:p>
    <w:p>
      <w:pPr>
        <w:pStyle w:val="null3"/>
        <w:outlineLvl w:val="3"/>
      </w:pPr>
      <w:r>
        <w:rPr>
          <w:b/>
          <w:sz w:val="24"/>
        </w:rPr>
        <w:t>5.3.1审查磋商文件和停止评审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出现上述应当停止评审情形的，采购组织单位应当通过项目电子化交易系统书面告知参加采购活动的供应商，并说明具体原因，同时在四川政府采购网公告。采购组织单位认为磋商小组不应当停止评审的，可以书面报告采购项目同级财政部门依法处理，并提供相关证明材料。</w:t>
      </w:r>
    </w:p>
    <w:p>
      <w:pPr>
        <w:pStyle w:val="null3"/>
        <w:outlineLvl w:val="3"/>
      </w:pPr>
      <w:r>
        <w:rPr>
          <w:b/>
          <w:sz w:val="24"/>
        </w:rPr>
        <w:t>5.3.2资格审查</w:t>
      </w:r>
    </w:p>
    <w:p>
      <w:pPr>
        <w:pStyle w:val="null3"/>
      </w:pPr>
    </w:p>
    <w:p>
      <w:pPr>
        <w:pStyle w:val="null3"/>
      </w:pPr>
    </w:p>
    <w:p>
      <w:pPr>
        <w:pStyle w:val="null3"/>
        <w:ind w:firstLine="480"/>
      </w:pPr>
      <w:r>
        <w:rPr/>
        <w:t xml:space="preserve"> 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outlineLvl w:val="3"/>
      </w:pPr>
      <w:r>
        <w:rPr>
          <w:b/>
          <w:sz w:val="24"/>
        </w:rPr>
        <w:t>5.3.2.1一般资格审查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银行、保险、石油石化、电力、电信行业由分机构参与投标的均视为具有独立承担民事责任的能力，不得因其为负责人形式而认定不符合《中华人民共和国政府采购法》第二十二条第一款规定。</w:t>
            </w:r>
          </w:p>
        </w:tc>
        <w:tc>
          <w:tcPr>
            <w:tcW w:type="dxa" w:w="1661"/>
          </w:tcPr>
          <w:p>
            <w:pPr>
              <w:pStyle w:val="null3"/>
            </w:pPr>
            <w:r>
              <w:rPr/>
              <w:t>其他资格性证明文件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①可提供2021或2022年度经审计的财务报告复印件（包含审计报告和审计报告中所涉及的财务报表和报表附注）；②也可提供2021或2022年度供应商内部的财务报表复印件（至少包含资产负债表）；③也可提供截至响应文件递交截止日一年内银行出具的资信证明（复印件加盖公章）；④供应商注册时间截至响应文件递交截止日不足一年的，也可提供在行政管理部门备案的公司章程（复印件加盖公章）；⑤不具备法人条件的组织，如合伙组织、个体工商户、农村承包经营户等或自然人时，也可提供承诺函。</w:t>
            </w:r>
          </w:p>
        </w:tc>
        <w:tc>
          <w:tcPr>
            <w:tcW w:type="dxa" w:w="1661"/>
          </w:tcPr>
          <w:p>
            <w:pPr>
              <w:pStyle w:val="null3"/>
            </w:pPr>
            <w:r>
              <w:rPr/>
              <w:t>其他资格性证明文件 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1）具有依法缴纳税收的良好记录（提供2022年以来任意一个月的税务局出具的纳税证明或纳税凭证；供应商注册时间截至投标文件递交截止日不足一年的可提供承诺函；免税企业提供税务机关出具的相关有效证明材料）； （2）具有依法缴纳社会保障资金的良好记录（提供2022年以来任意一个月的社保局或税务局出具的社保证明或社保凭证；供应商注册时间截至投标文件递交截止日不足一年的可提供承诺函；依法不需要缴纳社会保障资金的供应商，应提供相关有效证明材料）。</w:t>
            </w:r>
          </w:p>
        </w:tc>
        <w:tc>
          <w:tcPr>
            <w:tcW w:type="dxa" w:w="1661"/>
          </w:tcPr>
          <w:p>
            <w:pPr>
              <w:pStyle w:val="null3"/>
            </w:pPr>
            <w:r>
              <w:rPr/>
              <w:t>其他资格性证明文件 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outlineLvl w:val="3"/>
      </w:pPr>
      <w:r>
        <w:rPr>
          <w:b/>
          <w:sz w:val="24"/>
        </w:rPr>
        <w:t>5.3.2.2特殊资格审查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行贿犯罪记录</w:t>
            </w:r>
          </w:p>
        </w:tc>
        <w:tc>
          <w:tcPr>
            <w:tcW w:type="dxa" w:w="3322"/>
          </w:tcPr>
          <w:p>
            <w:pPr>
              <w:pStyle w:val="null3"/>
            </w:pPr>
            <w:r>
              <w:rPr/>
              <w:t>投标人单位及其现任法定代表人/单位负责人在参加本政府采购项目前三年内不得具有行贿犯罪记录（提供声明函原件）</w:t>
            </w:r>
          </w:p>
        </w:tc>
        <w:tc>
          <w:tcPr>
            <w:tcW w:type="dxa" w:w="1661"/>
          </w:tcPr>
          <w:p>
            <w:pPr>
              <w:pStyle w:val="null3"/>
            </w:pPr>
            <w:r>
              <w:rPr/>
              <w:t>其他资格性证明文件</w:t>
            </w:r>
          </w:p>
        </w:tc>
      </w:tr>
    </w:tbl>
    <w:p>
      <w:pPr>
        <w:pStyle w:val="null3"/>
        <w:outlineLvl w:val="3"/>
      </w:pPr>
      <w:r>
        <w:rPr>
          <w:b/>
          <w:sz w:val="24"/>
        </w:rPr>
        <w:t>5.3.2.3落实政府采购政策资格审查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5.3.3磋商</w:t>
      </w:r>
    </w:p>
    <w:p>
      <w:pPr>
        <w:pStyle w:val="null3"/>
        <w:ind w:firstLine="480"/>
      </w:pPr>
      <w:r>
        <w:rPr/>
        <w:t xml:space="preserve"> 一、磋商小组按照磋商文件的规定与邀请参加磋商的供应商分别进行磋商，磋商顺序由磋商小组确定。</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七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四、对磋商文件作出的实质性变动是磋商文件的有效组成部分，磋商小组应通过项目电子化交易系统，将变动情况通知本轮次所有参加磋商的供应商。磋商过程中，磋商小组可以根据磋商情况调整磋商轮次。</w:t>
      </w:r>
    </w:p>
    <w:p>
      <w:pPr>
        <w:pStyle w:val="null3"/>
        <w:ind w:firstLine="480"/>
      </w:pPr>
      <w:r>
        <w:rPr/>
        <w:t xml:space="preserve"> 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七、磋商过程中，磋商的任何一方不得透露与磋商有关的其他供应商的技术资料、价格和其他信息。</w:t>
      </w:r>
    </w:p>
    <w:p>
      <w:pPr>
        <w:pStyle w:val="null3"/>
        <w:ind w:firstLine="480"/>
      </w:pPr>
      <w:r>
        <w:rPr/>
        <w:t xml:space="preserve"> 八、磋商过程中，磋商小组发现或者知晓供应商存在违法行为的，应当磋商报告中予以记录，并向本级财政部门报告，依法应将该供应商响应文件作无效处理的，应当作无效处理。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5.3.4符合性审查</w:t>
      </w:r>
    </w:p>
    <w:p>
      <w:pPr>
        <w:pStyle w:val="null3"/>
        <w:ind w:firstLine="480"/>
      </w:pPr>
      <w:r>
        <w:rPr/>
        <w:t xml:space="preserve"> 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在符合性审查过程中，如果出现磋商小组成员意见不一致的情况，按照少数服从多数的原则确定，但不得违背政府采购基本原则和磋商文件规定。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分项报价明细表（货物） 报价表</w:t>
            </w:r>
          </w:p>
        </w:tc>
      </w:tr>
      <w:tr>
        <w:tc>
          <w:tcPr>
            <w:tcW w:type="dxa" w:w="831"/>
          </w:tcPr>
          <w:p>
            <w:pPr>
              <w:pStyle w:val="null3"/>
            </w:pPr>
            <w:r>
              <w:rPr/>
              <w:t>2</w:t>
            </w:r>
          </w:p>
        </w:tc>
        <w:tc>
          <w:tcPr>
            <w:tcW w:type="dxa" w:w="2492"/>
          </w:tcPr>
          <w:p>
            <w:pPr>
              <w:pStyle w:val="null3"/>
            </w:pPr>
            <w:r>
              <w:rPr/>
              <w:t>采购项目履约时间、方式、数量和其他政府采购合同主要内容</w:t>
            </w:r>
          </w:p>
        </w:tc>
        <w:tc>
          <w:tcPr>
            <w:tcW w:type="dxa" w:w="3322"/>
          </w:tcPr>
          <w:p>
            <w:pPr>
              <w:pStyle w:val="null3"/>
            </w:pPr>
            <w:r>
              <w:rPr/>
              <w:t>按磋商文件应答</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响应文件的计量单位、报价货币、知识产权、响应有效期等</w:t>
            </w:r>
          </w:p>
        </w:tc>
        <w:tc>
          <w:tcPr>
            <w:tcW w:type="dxa" w:w="3322"/>
          </w:tcPr>
          <w:p>
            <w:pPr>
              <w:pStyle w:val="null3"/>
            </w:pPr>
            <w:r>
              <w:rPr/>
              <w:t>按磋商文件应答</w:t>
            </w:r>
          </w:p>
        </w:tc>
        <w:tc>
          <w:tcPr>
            <w:tcW w:type="dxa" w:w="1661"/>
          </w:tcPr>
          <w:p>
            <w:pPr>
              <w:pStyle w:val="null3"/>
            </w:pPr>
            <w:r>
              <w:rPr/>
              <w:t>分项报价明细表（货物） 报价表 投标（响应）函</w:t>
            </w:r>
          </w:p>
        </w:tc>
      </w:tr>
      <w:tr>
        <w:tc>
          <w:tcPr>
            <w:tcW w:type="dxa" w:w="831"/>
          </w:tcPr>
          <w:p>
            <w:pPr>
              <w:pStyle w:val="null3"/>
            </w:pPr>
            <w:r>
              <w:rPr/>
              <w:t>4</w:t>
            </w:r>
          </w:p>
        </w:tc>
        <w:tc>
          <w:tcPr>
            <w:tcW w:type="dxa" w:w="2492"/>
          </w:tcPr>
          <w:p>
            <w:pPr>
              <w:pStyle w:val="null3"/>
            </w:pPr>
            <w:r>
              <w:rPr/>
              <w:t>磋商文件规定的其他实质性内容</w:t>
            </w:r>
          </w:p>
        </w:tc>
        <w:tc>
          <w:tcPr>
            <w:tcW w:type="dxa" w:w="3322"/>
          </w:tcPr>
          <w:p>
            <w:pPr>
              <w:pStyle w:val="null3"/>
            </w:pPr>
            <w:r>
              <w:rPr/>
              <w:t>供应商根据本项目实质性要求内容提供，格式自拟</w:t>
            </w:r>
          </w:p>
        </w:tc>
        <w:tc>
          <w:tcPr>
            <w:tcW w:type="dxa" w:w="1661"/>
          </w:tcPr>
          <w:p>
            <w:pPr>
              <w:pStyle w:val="null3"/>
            </w:pPr>
            <w:r>
              <w:rPr/>
              <w:t>响应文件封面 磋商文件规定的其他实质性内容</w:t>
            </w:r>
          </w:p>
        </w:tc>
      </w:tr>
    </w:tbl>
    <w:p>
      <w:pPr>
        <w:pStyle w:val="null3"/>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采购包1：磋商文件能够详细列明采购标的的技术、服务要求，磋商结束后，磋商小组可以根据磋商情况要求所有实质性响应的供应商在规定时间内提交最后报价，提交最后报价的供应商不得少于3家。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 xml:space="preserve"> 四、供应商未在响应文件提交截止时间内提交报价或未按要求进行报价的，视为无效响应，由供应商自行承担不利后果。</w:t>
      </w:r>
    </w:p>
    <w:p>
      <w:pPr>
        <w:pStyle w:val="null3"/>
        <w:ind w:firstLine="480"/>
      </w:pPr>
      <w:r>
        <w:rPr/>
        <w:t xml:space="preserve"> 五、供应商未按磋商小组要求在规定时间内提交最后报价的，视为其退出磋商。</w:t>
      </w:r>
    </w:p>
    <w:p>
      <w:pPr>
        <w:pStyle w:val="null3"/>
        <w:ind w:firstLine="480"/>
      </w:pPr>
      <w:r>
        <w:rPr/>
        <w:t>六、最后报价一旦提交后，供应商不得以任何理由撤回。</w:t>
      </w:r>
    </w:p>
    <w:p>
      <w:pPr>
        <w:pStyle w:val="null3"/>
        <w:ind w:firstLine="480"/>
      </w:pPr>
      <w:r>
        <w:rPr/>
        <w:t>七、最后报价为有效报价应符合下列条件：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八、最后报价出现下列情况的，不需要供应商澄清，按以下原则处理：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5.3.6解释、澄清有关问题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5.3.7比较与评价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5.3.8复核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5.3.9推荐成交候选供应商</w:t>
      </w:r>
    </w:p>
    <w:p>
      <w:pPr>
        <w:pStyle w:val="null3"/>
      </w:pPr>
    </w:p>
    <w:p>
      <w:pPr>
        <w:pStyle w:val="null3"/>
      </w:pPr>
    </w:p>
    <w:p>
      <w:pPr>
        <w:pStyle w:val="null3"/>
      </w:pPr>
      <w:r>
        <w:rPr/>
        <w:t>采购包1：</w:t>
      </w:r>
      <w:r>
        <w:rPr/>
        <w:t>候选供应商数量3名。</w:t>
      </w:r>
    </w:p>
    <w:p>
      <w:pPr>
        <w:pStyle w:val="null3"/>
        <w:ind w:firstLine="480"/>
      </w:pPr>
      <w:r>
        <w:rPr/>
        <w:t>“本项目”磋商小组应当根据综合评分情况，按照评审得分由高到低顺序推荐成交候选供应商，并编写磋商报告（若本项目属于政府购买服务项目（含政府和社会资本合作项目）/市场竞争不充分的科研项目/需要扶持的科技成果转化项目，当提交最后报价的供应商为2家时，可以推荐2家成交候选供应商）。</w:t>
      </w:r>
    </w:p>
    <w:p>
      <w:pPr>
        <w:pStyle w:val="null3"/>
        <w:ind w:firstLine="480"/>
      </w:pPr>
      <w:r>
        <w:rPr/>
        <w:t>评审得分相同的，按照最后报价由低到高的顺序推荐。评审得分且最后报价相同的，按照技术指标优劣（本项目的技术指标为：</w:t>
      </w:r>
      <w:r>
        <w:rPr/>
        <w:t>技术要求、项目实施方案、售后服务方案</w:t>
      </w:r>
      <w:r>
        <w:rPr/>
        <w:t xml:space="preserve"> ，按照技术指标得分确定优劣）顺序推荐。评审得分且最后报价且技术指标得分均相同的，按供应商根据第六章强制、优先采购产品承诺函格式要求承诺提供的经认证的优先采购节能、环境标志产品数量由多到少顺序推荐。评审得分、最后报价、技术指标得分和承诺提供的经认证优先采购节能、环境标志产品数量均相同的，成交候选供应商并列。</w:t>
      </w:r>
    </w:p>
    <w:p>
      <w:pPr>
        <w:pStyle w:val="null3"/>
        <w:outlineLvl w:val="3"/>
      </w:pPr>
      <w:r>
        <w:rPr>
          <w:b/>
          <w:sz w:val="24"/>
        </w:rPr>
        <w:t>5.3.10编写磋商报告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5.3.11评审争议处理规则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5.4评审办法及标准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5.4.1评分办法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5.4.2评分标准</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技术要求</w:t>
            </w:r>
          </w:p>
        </w:tc>
        <w:tc>
          <w:tcPr>
            <w:tcW w:type="dxa" w:w="2492"/>
          </w:tcPr>
          <w:p>
            <w:pPr>
              <w:pStyle w:val="null3"/>
            </w:pPr>
            <w:r>
              <w:rPr/>
              <w:t>完全符合磋商文件第三章“技术参数要求”没有负偏离的得33分，带“▲”号参数条款每有一条不满足磋商文件要求扣1分（共24条），带“●”号参数条款每有一条不满足磋商文件要求扣0.5分（共18条），直至本项分值扣完为止。</w:t>
            </w:r>
          </w:p>
        </w:tc>
        <w:tc>
          <w:tcPr>
            <w:tcW w:type="dxa" w:w="831"/>
          </w:tcPr>
          <w:p>
            <w:pPr>
              <w:pStyle w:val="null3"/>
              <w:jc w:val="right"/>
            </w:pPr>
            <w:r>
              <w:rPr/>
              <w:t>33.00</w:t>
            </w:r>
          </w:p>
        </w:tc>
        <w:tc>
          <w:tcPr>
            <w:tcW w:type="dxa" w:w="831"/>
          </w:tcPr>
          <w:p>
            <w:pPr>
              <w:pStyle w:val="null3"/>
            </w:pPr>
            <w:r>
              <w:rPr/>
              <w:t>客观</w:t>
            </w:r>
          </w:p>
        </w:tc>
        <w:tc>
          <w:tcPr>
            <w:tcW w:type="dxa" w:w="1661"/>
          </w:tcPr>
          <w:p>
            <w:pPr>
              <w:pStyle w:val="null3"/>
            </w:pPr>
            <w:r>
              <w:rPr/>
              <w:t>产品技术参数响应表</w:t>
            </w:r>
          </w:p>
          <w:p>
            <w:pPr>
              <w:pStyle w:val="null3"/>
            </w:pPr>
            <w:r>
              <w:rPr/>
              <w:t>其他供应商认为需要提供的文件和资料</w:t>
            </w:r>
          </w:p>
        </w:tc>
      </w:tr>
      <w:tr>
        <w:tc>
          <w:tcPr>
            <w:tcW w:type="dxa" w:w="831"/>
            <w:vMerge/>
          </w:tcPr>
          <w:p/>
        </w:tc>
        <w:tc>
          <w:tcPr>
            <w:tcW w:type="dxa" w:w="1661"/>
          </w:tcPr>
          <w:p>
            <w:pPr>
              <w:pStyle w:val="null3"/>
            </w:pPr>
            <w:r>
              <w:rPr/>
              <w:t>项目实施方案</w:t>
            </w:r>
          </w:p>
        </w:tc>
        <w:tc>
          <w:tcPr>
            <w:tcW w:type="dxa" w:w="2492"/>
          </w:tcPr>
          <w:p>
            <w:pPr>
              <w:pStyle w:val="null3"/>
            </w:pPr>
            <w:r>
              <w:rPr/>
              <w:t>根据供应商针对本项目的实际情况制定的项目实施方案进行综合评审，包括但不限于：①货源组织及运输方案；②项目管理人员配置及内控制度；③质量保障措施；④进度安排及保障措施；⑤货物安装方案；⑥应急处理预案；⑦项目实施重难点分析等内容。上述内容完整详细且具体可行的得21分，每有一项方案内容缺项扣3分，每有一项方案内容存在不足扣1.5分。 注：方案内容存在不足是指项目名称错误、实施地点错误、涉及的规范及标准错误、内容前后相互矛盾或逻辑混乱、前后内容无法连贯、只有单纯的文字描述或只是简单的复制粘贴内容、提供的方案内容与项目无关、套用其他项目方案、方案内容不满足项目实际需求等任意一种情形。</w:t>
            </w:r>
          </w:p>
        </w:tc>
        <w:tc>
          <w:tcPr>
            <w:tcW w:type="dxa" w:w="831"/>
          </w:tcPr>
          <w:p>
            <w:pPr>
              <w:pStyle w:val="null3"/>
              <w:jc w:val="right"/>
            </w:pPr>
            <w:r>
              <w:rPr/>
              <w:t>21.00</w:t>
            </w:r>
          </w:p>
        </w:tc>
        <w:tc>
          <w:tcPr>
            <w:tcW w:type="dxa" w:w="831"/>
          </w:tcPr>
          <w:p>
            <w:pPr>
              <w:pStyle w:val="null3"/>
            </w:pPr>
            <w:r>
              <w:rPr/>
              <w:t>主观</w:t>
            </w:r>
          </w:p>
        </w:tc>
        <w:tc>
          <w:tcPr>
            <w:tcW w:type="dxa" w:w="1661"/>
          </w:tcPr>
          <w:p>
            <w:pPr>
              <w:pStyle w:val="null3"/>
            </w:pPr>
            <w:r>
              <w:rPr/>
              <w:t>其他供应商认为需要提供的文件和资料</w:t>
            </w:r>
          </w:p>
        </w:tc>
      </w:tr>
      <w:tr>
        <w:tc>
          <w:tcPr>
            <w:tcW w:type="dxa" w:w="831"/>
            <w:vMerge/>
          </w:tcPr>
          <w:p/>
        </w:tc>
        <w:tc>
          <w:tcPr>
            <w:tcW w:type="dxa" w:w="1661"/>
          </w:tcPr>
          <w:p>
            <w:pPr>
              <w:pStyle w:val="null3"/>
            </w:pPr>
            <w:r>
              <w:rPr/>
              <w:t>售后服务方案</w:t>
            </w:r>
          </w:p>
        </w:tc>
        <w:tc>
          <w:tcPr>
            <w:tcW w:type="dxa" w:w="2492"/>
          </w:tcPr>
          <w:p>
            <w:pPr>
              <w:pStyle w:val="null3"/>
            </w:pPr>
            <w:r>
              <w:rPr/>
              <w:t>根据供应商针对本项目的实际情况制定的售后服务方案进行综合评审，包括但不限于：①售后服务体系及人员安排计划；②常见问题及处理方案；③维修维护及保养措施；④备品备件供应计划等内容。上述内容完整详细且具体可行的得8分，每有一项方案内容缺项扣2分，每有一项方案内容存在不足扣1分。 注：方案内容存在不足是指项目名称错误、实施地点错误、涉及的规范及标准错误、内容前后相互矛盾或逻辑混乱、前后内容无法连贯、只有单纯的文字描述或只是简单的复制粘贴内容、提供的方案内容与项目无关、套用其他项目方案、方案内容不满足项目实际需求等任意一种情形。</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其他供应商认为需要提供的文件和资料</w:t>
            </w:r>
          </w:p>
        </w:tc>
      </w:tr>
      <w:tr>
        <w:tc>
          <w:tcPr>
            <w:tcW w:type="dxa" w:w="831"/>
            <w:vMerge/>
          </w:tcPr>
          <w:p/>
        </w:tc>
        <w:tc>
          <w:tcPr>
            <w:tcW w:type="dxa" w:w="1661"/>
          </w:tcPr>
          <w:p>
            <w:pPr>
              <w:pStyle w:val="null3"/>
            </w:pPr>
            <w:r>
              <w:rPr/>
              <w:t>履约能力</w:t>
            </w:r>
          </w:p>
        </w:tc>
        <w:tc>
          <w:tcPr>
            <w:tcW w:type="dxa" w:w="2492"/>
          </w:tcPr>
          <w:p>
            <w:pPr>
              <w:pStyle w:val="null3"/>
            </w:pPr>
            <w:r>
              <w:rPr/>
              <w:t>供应商自2020年（含1日）以来，每具有1个类似项目业绩的得3分，本项最多得6分。 注：提供合同协议书（以合同签订时间为准）或中标/成交通知书（以通知书发放时间为准）复印件并加盖供应商鲜章。</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供应商类似项目业绩一览表</w:t>
            </w:r>
          </w:p>
          <w:p>
            <w:pPr>
              <w:pStyle w:val="null3"/>
            </w:pPr>
            <w:r>
              <w:rPr/>
              <w:t>其他供应商认为需要提供的文件和资料</w:t>
            </w:r>
          </w:p>
        </w:tc>
      </w:tr>
      <w:tr>
        <w:tc>
          <w:tcPr>
            <w:tcW w:type="dxa" w:w="831"/>
            <w:vMerge/>
          </w:tcPr>
          <w:p/>
        </w:tc>
        <w:tc>
          <w:tcPr>
            <w:tcW w:type="dxa" w:w="1661"/>
          </w:tcPr>
          <w:p>
            <w:pPr>
              <w:pStyle w:val="null3"/>
            </w:pPr>
            <w:r>
              <w:rPr/>
              <w:t>环境标志产品</w:t>
            </w:r>
          </w:p>
        </w:tc>
        <w:tc>
          <w:tcPr>
            <w:tcW w:type="dxa" w:w="2492"/>
          </w:tcPr>
          <w:p>
            <w:pPr>
              <w:pStyle w:val="null3"/>
            </w:pPr>
            <w:r>
              <w:rPr/>
              <w:t>投标产品中属于政府采购优先采购范围的，则每有一项为环境标志产品的得0.5分，本项最多得2分。 注：1.环境标志产品优先采购范围以品目清单为准。财政部、发展改革委、生态环境部等部门根据产品环保性能、技术水平和市场成熟程度等因素，确定实施政府优先采购的产品类别及所依据的相关标准规范，以品目清单的形式发布并适时调整。 2.投标产品属于优先采购范围内的环境标志产品的，提供国家确定的认证机构出具的、处于有效期之内的环境标志产品认证证书复印件加盖投标人公章（鲜章）。</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其他供应商认为需要提供的文件和资料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 报价得分=(磋商基准价/最后磋商报价)×30%×100。 注：1.项目评审过程中，不得去掉最高报价和最低报价；评分的取值按四舍五入法，保留小数点后两位； 2.因落实政府采购政策进行价格调整的，以调整后的价格计算评审基准价和最后报价； 3.小微企业(残疾人福利性单位、监狱企业视同小微企业)价格扣除政策按照磋商文件的相关要求执行。</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分项报价表</w:t>
            </w:r>
          </w:p>
          <w:p>
            <w:pPr>
              <w:pStyle w:val="null3"/>
            </w:pPr>
            <w:r>
              <w:rPr/>
              <w:t>分项报价明细表（货物）</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本项目对属于小型和微型企业的投标人的投标报价给予相应百分比的扣除，用扣除后的价格参与评审。残疾人福利性单位视同小型、微型企业，享受同等价格扣除，但同时属于残疾人福利性单位和小微企业的，不重复价格扣除。</w:t>
            </w:r>
          </w:p>
        </w:tc>
        <w:tc>
          <w:tcPr>
            <w:tcW w:type="dxa" w:w="1661"/>
          </w:tcPr>
          <w:p>
            <w:pPr>
              <w:pStyle w:val="null3"/>
            </w:pPr>
            <w:r>
              <w:rPr/>
              <w:t>中小企业声明函 残疾人福利性单位声明函 监狱企业的证明文件</w:t>
            </w:r>
          </w:p>
        </w:tc>
      </w:tr>
    </w:tbl>
    <w:p>
      <w:pPr>
        <w:pStyle w:val="null3"/>
        <w:outlineLvl w:val="2"/>
      </w:pPr>
      <w:r>
        <w:rPr>
          <w:b/>
          <w:sz w:val="28"/>
        </w:rPr>
        <w:t>5.5终止采购活动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5.6确定成交供应商</w:t>
      </w:r>
    </w:p>
    <w:p>
      <w:pPr>
        <w:pStyle w:val="null3"/>
      </w:pPr>
    </w:p>
    <w:p>
      <w:pPr>
        <w:pStyle w:val="null3"/>
      </w:pP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四、根据采购人确定的成交供应商，代理机构在四川政府采购网上发布成交结果公告，同时向成交供应商发出成交通知书。</w:t>
      </w:r>
    </w:p>
    <w:p>
      <w:pPr>
        <w:pStyle w:val="null3"/>
        <w:outlineLvl w:val="2"/>
      </w:pPr>
      <w:r>
        <w:rPr>
          <w:b/>
          <w:sz w:val="28"/>
        </w:rPr>
        <w:t>5.7评审专家在政府采购活动中承担以下义务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5.8评审专家在政府采购活动中应当遵守以下工作纪律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履行《四川省政府采购评审工作规程（修订）》（川财采〔2016〕53号）第十三条第（六）项规定的义务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详见附件：磋商文件规定的其他实质性内容</w:t>
      </w:r>
    </w:p>
    <w:p>
      <w:pPr>
        <w:pStyle w:val="null3"/>
        <w:ind w:firstLine="960"/>
      </w:pPr>
      <w:r>
        <w:rPr/>
        <w:t>详见附件：分项报价明细表（货物）</w:t>
      </w:r>
    </w:p>
    <w:p>
      <w:pPr>
        <w:pStyle w:val="null3"/>
        <w:ind w:firstLine="960"/>
      </w:pPr>
      <w:r>
        <w:rPr/>
        <w:t>详见附件：供应商类似项目业绩一览表</w:t>
      </w:r>
    </w:p>
    <w:p>
      <w:pPr>
        <w:pStyle w:val="null3"/>
        <w:ind w:firstLine="960"/>
      </w:pPr>
      <w:r>
        <w:rPr/>
        <w:t>详见附件：其他供应商认为需要提供的文件和资料</w:t>
      </w:r>
    </w:p>
    <w:p>
      <w:pPr>
        <w:pStyle w:val="null3"/>
        <w:ind w:firstLine="960"/>
      </w:pPr>
      <w:r>
        <w:rPr/>
        <w:t>详见附件：其他资格性证明文件</w:t>
      </w:r>
    </w:p>
    <w:p>
      <w:pPr>
        <w:pStyle w:val="null3"/>
      </w:pPr>
    </w:p>
    <w:p>
      <w:pPr>
        <w:pStyle w:val="null3"/>
      </w:pPr>
      <w:r>
        <w:rPr/>
        <w:t xml:space="preserve"> </w:t>
      </w:r>
    </w:p>
    <w:p>
      <w:pPr>
        <w:pStyle w:val="null3"/>
        <w:jc w:val="center"/>
        <w:outlineLvl w:val="1"/>
      </w:pPr>
      <w:r>
        <w:rPr>
          <w:b/>
          <w:sz w:val="36"/>
        </w:rPr>
        <w:t>第七章 拟签订采购合同文本</w:t>
      </w:r>
    </w:p>
    <w:p>
      <w:pPr>
        <w:pStyle w:val="null3"/>
      </w:pPr>
    </w:p>
    <w:p>
      <w:pPr>
        <w:pStyle w:val="null3"/>
      </w:pPr>
    </w:p>
    <w:p>
      <w:pPr>
        <w:pStyle w:val="null3"/>
      </w:pPr>
      <w:r>
        <w:rPr/>
        <w:t>详见附件：合同文本（货物）.docx</w:t>
      </w: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