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1"/>
      </w:pPr>
      <w:r>
        <w:rPr>
          <w:b/>
          <w:sz w:val="36"/>
        </w:rPr>
        <w:t>第三章 招标项目技术、服务、商务及其他要求</w:t>
      </w:r>
    </w:p>
    <w:p>
      <w:pPr>
        <w:pStyle w:val="4"/>
        <w:ind w:firstLine="480"/>
      </w:pPr>
      <w:r>
        <w:t>（注：当采购包的评标方法为综合评分法时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ind w:firstLine="480"/>
      </w:pPr>
      <w:r>
        <w:t>（注：当采购包的评标方法为最低评标价法时带“★”的参数需求为实质性要求，供应商必须响应并满足的参数需求，采购人、采购代理机构应当根据项目实际需求合理设定，并明确具体要求。）</w:t>
      </w:r>
    </w:p>
    <w:p>
      <w:pPr>
        <w:pStyle w:val="4"/>
        <w:outlineLvl w:val="2"/>
      </w:pPr>
      <w:r>
        <w:rPr>
          <w:b/>
          <w:sz w:val="28"/>
        </w:rPr>
        <w:t>3.1采购项目概况</w:t>
      </w:r>
    </w:p>
    <w:p>
      <w:pPr>
        <w:pStyle w:val="4"/>
      </w:pPr>
    </w:p>
    <w:p>
      <w:pPr>
        <w:pStyle w:val="4"/>
      </w:pPr>
      <w:r>
        <w:t>乡生活垃圾处置分类，至2023年底基本建成全县城乡垃圾处置体系，完善垃圾收转运体系，生活垃圾处理率达90%以上，乡镇及行政村生活垃圾收转运体系全覆盖。</w:t>
      </w:r>
    </w:p>
    <w:p>
      <w:pPr>
        <w:pStyle w:val="4"/>
        <w:ind w:firstLine="480"/>
        <w:outlineLvl w:val="2"/>
      </w:pPr>
      <w:r>
        <w:rPr>
          <w:b/>
          <w:sz w:val="28"/>
        </w:rPr>
        <w:t>3.2采购内容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1,300,000.00</w:t>
      </w:r>
    </w:p>
    <w:p>
      <w:pPr>
        <w:pStyle w:val="4"/>
      </w:pPr>
      <w:r>
        <w:t>采购包最高限价（元）: 1,300,000.00</w:t>
      </w:r>
    </w:p>
    <w:p>
      <w:pPr>
        <w:pStyle w:val="4"/>
      </w:pPr>
      <w:r>
        <w:t>供应商报价不允许超过标的金额</w:t>
      </w:r>
    </w:p>
    <w:p>
      <w:pPr>
        <w:pStyle w:val="4"/>
      </w:pPr>
      <w:r>
        <w:t>（招单价的）供应商报价不允许超过标的单价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1"/>
        <w:gridCol w:w="825"/>
        <w:gridCol w:w="1128"/>
        <w:gridCol w:w="821"/>
        <w:gridCol w:w="821"/>
        <w:gridCol w:w="821"/>
        <w:gridCol w:w="821"/>
        <w:gridCol w:w="821"/>
        <w:gridCol w:w="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是否核心产品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是否允许进口产品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是否属于节能产品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是否属于环境标志产品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中型压缩式垃圾车</w:t>
            </w:r>
          </w:p>
        </w:tc>
        <w:tc>
          <w:tcPr>
            <w:tcW w:w="831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4"/>
              <w:jc w:val="right"/>
            </w:pPr>
            <w:r>
              <w:t>320,000.00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辆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其他未列明行业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4"/>
            </w:pPr>
            <w:r>
              <w:t>2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三轮车</w:t>
            </w:r>
          </w:p>
        </w:tc>
        <w:tc>
          <w:tcPr>
            <w:tcW w:w="831" w:type="dxa"/>
          </w:tcPr>
          <w:p>
            <w:pPr>
              <w:pStyle w:val="4"/>
              <w:jc w:val="right"/>
            </w:pPr>
            <w:r>
              <w:t>9.00</w:t>
            </w:r>
          </w:p>
        </w:tc>
        <w:tc>
          <w:tcPr>
            <w:tcW w:w="831" w:type="dxa"/>
          </w:tcPr>
          <w:p>
            <w:pPr>
              <w:pStyle w:val="4"/>
              <w:jc w:val="right"/>
            </w:pPr>
            <w:r>
              <w:t>450,000.00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辆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其他未列明行业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4"/>
            </w:pPr>
            <w:r>
              <w:t>3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大型压缩式垃圾车</w:t>
            </w:r>
          </w:p>
        </w:tc>
        <w:tc>
          <w:tcPr>
            <w:tcW w:w="831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4"/>
              <w:jc w:val="right"/>
            </w:pPr>
            <w:r>
              <w:t>530,000.00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辆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其他未列明行业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ind w:firstLine="480"/>
        <w:outlineLvl w:val="2"/>
      </w:pPr>
      <w:r>
        <w:rPr>
          <w:b/>
          <w:sz w:val="28"/>
        </w:rPr>
        <w:t>3.3技术要求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标的名称：中型压缩式垃圾车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rPr>
                <w:rFonts w:ascii="宋体" w:hAnsi="宋体" w:eastAsia="宋体" w:cs="宋体"/>
                <w:sz w:val="24"/>
              </w:rPr>
              <w:t>总质量（kg）：≥11995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2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额定载质量（kg）：≥4600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3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整备质量（kg)：≥7100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4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外形尺寸（mm）长≥7460宽≥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2350</w:t>
            </w:r>
            <w:r>
              <w:rPr>
                <w:rFonts w:ascii="宋体" w:hAnsi="宋体" w:eastAsia="宋体" w:cs="宋体"/>
                <w:sz w:val="24"/>
              </w:rPr>
              <w:t>高≤2750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5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发动机功率（kw）:≥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120KW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6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轴距（mm）：≥3800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7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燃料种类：柴油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8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排放标准：国Ⅵ 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9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其他要求：参与投标车辆须在国家工信部公告目录内且具有环保公告；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10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整车基本功能要求：1、整车简洁美观、抗变形性能强、结构可靠性好；</w:t>
            </w:r>
          </w:p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2、全密封型，自行压缩、自行倾倒、压缩过程中的污水全部进入污水厢，能彻底的解决垃圾运输过程中的二次污染的问题；</w:t>
            </w:r>
          </w:p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3、该压缩车后翻转机构带翻桶装置。</w:t>
            </w:r>
          </w:p>
        </w:tc>
      </w:tr>
    </w:tbl>
    <w:p>
      <w:pPr>
        <w:pStyle w:val="4"/>
      </w:pPr>
    </w:p>
    <w:p>
      <w:pPr>
        <w:pStyle w:val="4"/>
      </w:pPr>
      <w:r>
        <w:t>标的名称：三轮车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4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总质量（kg）：≤2000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2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额定载质量（kg）：≥500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3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整备质量（kg）：≤1350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4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底盘型号：满足整车使用需求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5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轮胎数量：3个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6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箱体容积：≥3m³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7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货厢尺寸</w:t>
            </w:r>
            <w:r>
              <w:rPr>
                <w:rFonts w:ascii="宋体" w:hAnsi="宋体" w:eastAsia="宋体" w:cs="宋体"/>
                <w:sz w:val="21"/>
              </w:rPr>
              <w:t>（</w:t>
            </w:r>
            <w:r>
              <w:rPr>
                <w:rFonts w:ascii="&quot;times new roman&quot;" w:hAnsi="&quot;times new roman&quot;" w:eastAsia="&quot;times new roman&quot;" w:cs="&quot;times new roman&quot;"/>
                <w:sz w:val="21"/>
              </w:rPr>
              <w:t>mm</w:t>
            </w:r>
            <w:r>
              <w:rPr>
                <w:rFonts w:ascii="宋体" w:hAnsi="宋体" w:eastAsia="宋体" w:cs="宋体"/>
                <w:sz w:val="21"/>
              </w:rPr>
              <w:t>）：</w:t>
            </w:r>
            <w:r>
              <w:rPr>
                <w:rFonts w:ascii="宋体" w:hAnsi="宋体" w:eastAsia="宋体" w:cs="宋体"/>
                <w:sz w:val="24"/>
              </w:rPr>
              <w:t>长≥2300宽≤1550高≥900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8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轴数（个）：2个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9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轴距（mm）：≥2650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10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燃油种类：柴油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11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外形尺寸</w:t>
            </w:r>
            <w:r>
              <w:rPr>
                <w:rFonts w:ascii="宋体" w:hAnsi="宋体" w:eastAsia="宋体" w:cs="宋体"/>
                <w:sz w:val="21"/>
              </w:rPr>
              <w:t>（</w:t>
            </w:r>
            <w:r>
              <w:rPr>
                <w:rFonts w:ascii="&quot;times new roman&quot;" w:hAnsi="&quot;times new roman&quot;" w:eastAsia="&quot;times new roman&quot;" w:cs="&quot;times new roman&quot;"/>
                <w:sz w:val="21"/>
              </w:rPr>
              <w:t>mm</w:t>
            </w:r>
            <w:r>
              <w:rPr>
                <w:rFonts w:ascii="宋体" w:hAnsi="宋体" w:eastAsia="宋体" w:cs="宋体"/>
                <w:sz w:val="21"/>
              </w:rPr>
              <w:t>）：</w:t>
            </w:r>
            <w:r>
              <w:rPr>
                <w:rFonts w:ascii="宋体" w:hAnsi="宋体" w:eastAsia="宋体" w:cs="宋体"/>
                <w:sz w:val="24"/>
              </w:rPr>
              <w:t>长≥4100  宽≤1600高≥1850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12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其他要求：参与投标车辆须在国家工信部公告目录</w:t>
            </w:r>
          </w:p>
        </w:tc>
      </w:tr>
    </w:tbl>
    <w:p>
      <w:pPr>
        <w:pStyle w:val="4"/>
      </w:pPr>
    </w:p>
    <w:p>
      <w:pPr>
        <w:pStyle w:val="4"/>
      </w:pPr>
      <w:r>
        <w:t>标的名称：大型压缩式垃圾车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总质量（kg）：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≥18000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2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额定载质量（kg）：≥6500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3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整备质量（kg)：≥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10950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4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外形尺寸（mm）：长≥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9050</w:t>
            </w:r>
            <w:r>
              <w:rPr>
                <w:rFonts w:ascii="宋体" w:hAnsi="宋体" w:eastAsia="宋体" w:cs="宋体"/>
                <w:sz w:val="24"/>
              </w:rPr>
              <w:t>宽≥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2500</w:t>
            </w:r>
            <w:r>
              <w:rPr>
                <w:rFonts w:ascii="宋体" w:hAnsi="宋体" w:eastAsia="宋体" w:cs="宋体"/>
                <w:sz w:val="24"/>
              </w:rPr>
              <w:t>高≤3150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5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发动机功率（kw）:≥169KW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6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轴距（mm）：≥4700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7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燃料种类：柴油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8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 xml:space="preserve">排放标准：国Ⅵ  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9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其他要求：参与投标车辆须在国家工信部公告目录内且具有环保公告；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10</w:t>
            </w:r>
          </w:p>
        </w:tc>
        <w:tc>
          <w:tcPr>
            <w:tcW w:w="2769" w:type="dxa"/>
          </w:tcPr>
          <w:p>
            <w:pPr>
              <w:pStyle w:val="4"/>
              <w:ind w:firstLine="480"/>
              <w:jc w:val="both"/>
            </w:pPr>
            <w:r>
              <w:rPr>
                <w:rFonts w:ascii="宋体" w:hAnsi="宋体" w:eastAsia="宋体" w:cs="宋体"/>
                <w:sz w:val="24"/>
              </w:rPr>
              <w:t>整车基本功能要求：1、整车简洁美观、抗变形性能强、结构可靠性好；2、全密封型，自行压缩、自行倾倒、压缩过程中的污水全部进入污水厢，能彻底的解决垃圾运输过程中的二次污染的问题；3、该压缩车后翻转机构带翻桶装置。</w:t>
            </w:r>
          </w:p>
        </w:tc>
      </w:tr>
    </w:tbl>
    <w:p>
      <w:pPr>
        <w:pStyle w:val="4"/>
        <w:ind w:firstLine="480"/>
        <w:outlineLvl w:val="2"/>
      </w:pPr>
      <w:r>
        <w:rPr>
          <w:b/>
          <w:sz w:val="28"/>
        </w:rPr>
        <w:t>3.4商务要求</w:t>
      </w:r>
    </w:p>
    <w:p>
      <w:pPr>
        <w:pStyle w:val="4"/>
        <w:ind w:firstLine="480"/>
        <w:outlineLvl w:val="3"/>
      </w:pPr>
      <w:r>
        <w:rPr>
          <w:b/>
          <w:sz w:val="24"/>
        </w:rPr>
        <w:t>3.4.1交货时间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自合同签订之日起30日</w:t>
      </w:r>
    </w:p>
    <w:p>
      <w:pPr>
        <w:pStyle w:val="4"/>
        <w:ind w:firstLine="480"/>
        <w:outlineLvl w:val="3"/>
      </w:pPr>
      <w:r>
        <w:rPr>
          <w:b/>
          <w:sz w:val="24"/>
        </w:rPr>
        <w:t>3.4.2交货地点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采购人指定地点（理塘县）</w:t>
      </w:r>
    </w:p>
    <w:p>
      <w:pPr>
        <w:pStyle w:val="4"/>
        <w:ind w:firstLine="480"/>
        <w:outlineLvl w:val="3"/>
      </w:pPr>
      <w:r>
        <w:rPr>
          <w:b/>
          <w:sz w:val="24"/>
        </w:rPr>
        <w:t>3.4.3支付方式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  <w:ind w:firstLine="480"/>
        <w:outlineLvl w:val="3"/>
      </w:pPr>
      <w:r>
        <w:rPr>
          <w:b/>
          <w:sz w:val="24"/>
        </w:rPr>
        <w:t>3.4.4支付约定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采购包1：付款条件说明：采购合同签订后（最终以签订合同为准），达到付款条件起15日，支付合同总金额的30.00%。</w:t>
      </w:r>
    </w:p>
    <w:p>
      <w:pPr>
        <w:pStyle w:val="4"/>
      </w:pPr>
      <w:r>
        <w:t>采购包1：付款条件说明：履约验收合格后（最终以签订合同为准），达到付款条件起10日，支付合同总金额的70.00%。</w:t>
      </w:r>
    </w:p>
    <w:p>
      <w:pPr>
        <w:pStyle w:val="4"/>
        <w:ind w:firstLine="480"/>
        <w:outlineLvl w:val="3"/>
      </w:pPr>
      <w:r>
        <w:rPr>
          <w:b/>
          <w:sz w:val="24"/>
        </w:rPr>
        <w:t>3.4.5验收标准和方法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符合国家现行标准</w:t>
      </w:r>
    </w:p>
    <w:p>
      <w:pPr>
        <w:pStyle w:val="4"/>
        <w:ind w:firstLine="480"/>
        <w:outlineLvl w:val="3"/>
      </w:pPr>
      <w:r>
        <w:rPr>
          <w:b/>
          <w:sz w:val="24"/>
        </w:rPr>
        <w:t>3.4.6包装方式及运输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ind w:firstLine="480"/>
        <w:outlineLvl w:val="3"/>
      </w:pPr>
      <w:r>
        <w:rPr>
          <w:b/>
          <w:sz w:val="24"/>
        </w:rPr>
        <w:t>3.4.7质量保修范围和保修期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全部货物验收合格之日起1年</w:t>
      </w:r>
    </w:p>
    <w:p>
      <w:pPr>
        <w:pStyle w:val="4"/>
        <w:ind w:firstLine="480"/>
        <w:outlineLvl w:val="3"/>
      </w:pPr>
      <w:r>
        <w:rPr>
          <w:b/>
          <w:sz w:val="24"/>
        </w:rPr>
        <w:t>3.4.8违约责任与解决争议的方法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1、因货物的质量问题发生争议，由质量技术监督部门或其指定的质量鉴定机构进行质量鉴定。货物符合标准的，鉴定费由甲方承担；货物不符合质量标准的，鉴定费由乙方承担。 2、合同履行期间,若双方发生争议，1、可协商或双方友好调解解决。2、协商不成功的，可提交采购人当地法院处理。</w:t>
      </w:r>
    </w:p>
    <w:p>
      <w:pPr>
        <w:pStyle w:val="4"/>
        <w:ind w:firstLine="480"/>
        <w:jc w:val="left"/>
        <w:outlineLvl w:val="2"/>
      </w:pPr>
      <w:r>
        <w:rPr>
          <w:b/>
          <w:sz w:val="28"/>
        </w:rPr>
        <w:t>3.5其他要求</w:t>
      </w:r>
    </w:p>
    <w:p>
      <w:pPr>
        <w:pStyle w:val="4"/>
      </w:pPr>
    </w:p>
    <w:p>
      <w:pPr>
        <w:pStyle w:val="4"/>
      </w:pPr>
    </w:p>
    <w:p>
      <w:r>
        <w:t>注：1、本项目核心产品为：大型压缩式垃圾车；  2、本项目需投标人针对本项目提供项目实施方案（包含 ①货源组织方案②货源进度计划③运输方案④改装调试方案⑤产品供货计划等）、售后服务保障体系（包含①响应及处理时间②服务电话及维修对接人员名单③售后服务体系及维修处理方式④售后期限及售后期内的售后内容与范围等）、保障方案 （包含①质量保障②安全保障措施及应急措施③管理制度及培训方案等）。  3、投标人为本项目提供的所有产品、辅材中属于《国家强制性产品认证目录》范围内产品的，均通过国家强制性产品认证并取得认证证书；凡是涉及产品前置性许可，如3C，入网许可，销售许可等前置性条件的，均符合国家强制性要求，签订合同时交采购人查验。4、★中标人负责完成中型压缩式垃圾车，大型压缩式垃圾车上牌、注册登记，如不能完成上牌以及注册登记的，一切后果由中标人负责。中标人送车时以及在成功注册登记、上牌之前一切违章以及质量等问题均由中标人负责。（此条为实质性要求，投标人须满足否则按照无效处理，提供承诺函格式自拟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quot;times new roman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YTNiMjVjZDZlNjQ0NmRlMTQ3OTdiYmQ0NzU0OWEifQ=="/>
  </w:docVars>
  <w:rsids>
    <w:rsidRoot w:val="72B37961"/>
    <w:rsid w:val="72B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2023-10-12T02:05:00Z</dcterms:created>
  <dc:creator>高萍</dc:creator>
  <cp:lastModifiedBy>高萍</cp:lastModifiedBy>
  <dcterms:modified xsi:type="dcterms:W3CDTF">2023-10-12T02:06:29Z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766E78398D1149CCA8763639561E19A8_11</vt:lpwstr>
  </property>
</Properties>
</file>