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480"/>
        <w:jc w:val="center"/>
        <w:rPr>
          <w:rFonts w:hint="eastAsia"/>
          <w:b/>
          <w:bCs/>
          <w:sz w:val="32"/>
          <w:szCs w:val="32"/>
          <w:lang w:val="en-US" w:eastAsia="zh-CN"/>
        </w:rPr>
      </w:pPr>
      <w:r>
        <w:rPr>
          <w:rFonts w:hint="eastAsia"/>
          <w:b/>
          <w:bCs/>
          <w:sz w:val="32"/>
          <w:szCs w:val="32"/>
          <w:lang w:val="en-US" w:eastAsia="zh-CN"/>
        </w:rPr>
        <w:t>采购需求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bookmarkStart w:id="0" w:name="_GoBack"/>
      <w:bookmarkEnd w:id="0"/>
    </w:p>
    <w:p>
      <w:pPr>
        <w:pStyle w:val="4"/>
        <w:ind w:firstLine="480"/>
      </w:pPr>
    </w:p>
    <w:p>
      <w:pPr>
        <w:pStyle w:val="4"/>
      </w:pPr>
    </w:p>
    <w:p>
      <w:pPr>
        <w:pStyle w:val="4"/>
      </w:pPr>
      <w:r>
        <w:t>本项目为得荣县2023年农村公路波形护栏项目工程二期（太阳古镇、八日乡、奔都乡、瓦卡镇、古学乡）片区采购项目，护栏全长8.218km。本项目主要是对原部分维修恢复和新建实施，改善当地道路的行车安全，为人民的生命财产提供强有力的保障。</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2,230,000.00</w:t>
      </w:r>
    </w:p>
    <w:p>
      <w:pPr>
        <w:pStyle w:val="4"/>
      </w:pPr>
      <w:r>
        <w:t>采购包最高限价（元）: 2,015,964.54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925"/>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波形梁钢护栏Gr-B-2E</w:t>
            </w:r>
          </w:p>
        </w:tc>
        <w:tc>
          <w:tcPr>
            <w:tcW w:w="848" w:type="dxa"/>
          </w:tcPr>
          <w:p>
            <w:pPr>
              <w:pStyle w:val="4"/>
              <w:jc w:val="right"/>
            </w:pPr>
            <w:r>
              <w:t>7,774.00</w:t>
            </w:r>
          </w:p>
        </w:tc>
        <w:tc>
          <w:tcPr>
            <w:tcW w:w="1356" w:type="dxa"/>
          </w:tcPr>
          <w:p>
            <w:pPr>
              <w:pStyle w:val="4"/>
              <w:jc w:val="right"/>
            </w:pPr>
            <w:r>
              <w:t>2,015,964.54</w:t>
            </w:r>
          </w:p>
        </w:tc>
        <w:tc>
          <w:tcPr>
            <w:tcW w:w="678" w:type="dxa"/>
          </w:tcPr>
          <w:p>
            <w:pPr>
              <w:pStyle w:val="4"/>
            </w:pPr>
            <w:r>
              <w:t>米</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标的名称：波形梁钢护栏Gr-B-2E</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450"/>
        <w:gridCol w:w="2450"/>
        <w:gridCol w:w="36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numPr>
                <w:ilvl w:val="0"/>
                <w:numId w:val="1"/>
              </w:numPr>
              <w:jc w:val="left"/>
            </w:pPr>
            <w:r>
              <w:rPr>
                <w:rFonts w:ascii="宋体" w:hAnsi="宋体" w:eastAsia="宋体" w:cs="宋体"/>
                <w:sz w:val="21"/>
              </w:rPr>
              <w:t>二波形钢护栏板护栏板：</w:t>
            </w:r>
            <w:r>
              <w:rPr>
                <w:rFonts w:ascii="Calibri" w:hAnsi="Calibri" w:eastAsia="Calibri" w:cs="Calibri"/>
                <w:sz w:val="21"/>
              </w:rPr>
              <w:t>4320mm</w:t>
            </w:r>
            <w:r>
              <w:rPr>
                <w:rFonts w:ascii="宋体" w:hAnsi="宋体" w:eastAsia="宋体" w:cs="宋体"/>
                <w:sz w:val="21"/>
              </w:rPr>
              <w:t>×</w:t>
            </w:r>
            <w:r>
              <w:rPr>
                <w:rFonts w:ascii="Calibri" w:hAnsi="Calibri" w:eastAsia="Calibri" w:cs="Calibri"/>
                <w:sz w:val="21"/>
              </w:rPr>
              <w:t>310mm</w:t>
            </w:r>
            <w:r>
              <w:rPr>
                <w:rFonts w:ascii="宋体" w:hAnsi="宋体" w:eastAsia="宋体" w:cs="宋体"/>
                <w:sz w:val="21"/>
              </w:rPr>
              <w:t>×</w:t>
            </w:r>
            <w:r>
              <w:rPr>
                <w:rFonts w:ascii="Calibri" w:hAnsi="Calibri" w:eastAsia="Calibri" w:cs="Calibri"/>
                <w:sz w:val="21"/>
              </w:rPr>
              <w:t>85mm</w:t>
            </w:r>
            <w:r>
              <w:rPr>
                <w:rFonts w:ascii="宋体" w:hAnsi="宋体" w:eastAsia="宋体" w:cs="宋体"/>
                <w:sz w:val="21"/>
              </w:rPr>
              <w:t>×</w:t>
            </w:r>
            <w:r>
              <w:rPr>
                <w:rFonts w:ascii="Calibri" w:hAnsi="Calibri" w:eastAsia="Calibri" w:cs="Calibri"/>
                <w:sz w:val="21"/>
              </w:rPr>
              <w:t>3.0mm</w:t>
            </w:r>
            <w:r>
              <w:rPr>
                <w:rFonts w:ascii="宋体" w:hAnsi="宋体" w:eastAsia="宋体" w:cs="宋体"/>
                <w:sz w:val="21"/>
              </w:rPr>
              <w:t>。</w:t>
            </w:r>
          </w:p>
          <w:p>
            <w:pPr>
              <w:pStyle w:val="4"/>
              <w:numPr>
                <w:ilvl w:val="0"/>
                <w:numId w:val="1"/>
              </w:numPr>
              <w:jc w:val="left"/>
            </w:pPr>
            <w:r>
              <w:rPr>
                <w:rFonts w:ascii="宋体" w:hAnsi="宋体" w:eastAsia="宋体" w:cs="宋体"/>
                <w:sz w:val="21"/>
              </w:rPr>
              <w:t>立柱：</w:t>
            </w:r>
            <w:r>
              <w:rPr>
                <w:rFonts w:ascii="Calibri" w:hAnsi="Calibri" w:eastAsia="Calibri" w:cs="Calibri"/>
                <w:sz w:val="21"/>
              </w:rPr>
              <w:t>114mm</w:t>
            </w:r>
            <w:r>
              <w:rPr>
                <w:rFonts w:ascii="宋体" w:hAnsi="宋体" w:eastAsia="宋体" w:cs="宋体"/>
                <w:sz w:val="21"/>
              </w:rPr>
              <w:t>×</w:t>
            </w:r>
            <w:r>
              <w:rPr>
                <w:rFonts w:ascii="Calibri" w:hAnsi="Calibri" w:eastAsia="Calibri" w:cs="Calibri"/>
                <w:sz w:val="21"/>
              </w:rPr>
              <w:t>4.5mm</w:t>
            </w:r>
            <w:r>
              <w:rPr>
                <w:rFonts w:ascii="宋体" w:hAnsi="宋体" w:eastAsia="宋体" w:cs="宋体"/>
                <w:sz w:val="21"/>
              </w:rPr>
              <w:t>×</w:t>
            </w:r>
            <w:r>
              <w:rPr>
                <w:rFonts w:ascii="Calibri" w:hAnsi="Calibri" w:eastAsia="Calibri" w:cs="Calibri"/>
                <w:sz w:val="21"/>
              </w:rPr>
              <w:t>1950mm</w:t>
            </w:r>
            <w:r>
              <w:rPr>
                <w:rFonts w:ascii="宋体" w:hAnsi="宋体" w:eastAsia="宋体" w:cs="宋体"/>
                <w:sz w:val="21"/>
              </w:rPr>
              <w:t>，采用热浸镀锌无缝钢管，标准段立柱间距为</w:t>
            </w:r>
            <w:r>
              <w:rPr>
                <w:rFonts w:ascii="Calibri" w:hAnsi="Calibri" w:eastAsia="Calibri" w:cs="Calibri"/>
                <w:sz w:val="21"/>
              </w:rPr>
              <w:t>2</w:t>
            </w:r>
            <w:r>
              <w:rPr>
                <w:rFonts w:ascii="宋体" w:hAnsi="宋体" w:eastAsia="宋体" w:cs="宋体"/>
                <w:sz w:val="21"/>
              </w:rPr>
              <w:t>米，钢管端头加柱帽。</w:t>
            </w:r>
          </w:p>
          <w:p>
            <w:pPr>
              <w:pStyle w:val="4"/>
              <w:numPr>
                <w:ilvl w:val="0"/>
                <w:numId w:val="1"/>
              </w:numPr>
              <w:jc w:val="left"/>
            </w:pPr>
            <w:r>
              <w:rPr>
                <w:rFonts w:ascii="宋体" w:hAnsi="宋体" w:eastAsia="宋体" w:cs="宋体"/>
                <w:sz w:val="21"/>
              </w:rPr>
              <w:t>托架：</w:t>
            </w:r>
            <w:r>
              <w:rPr>
                <w:rFonts w:ascii="Calibri" w:hAnsi="Calibri" w:eastAsia="Calibri" w:cs="Calibri"/>
                <w:sz w:val="21"/>
              </w:rPr>
              <w:t>300mm</w:t>
            </w:r>
            <w:r>
              <w:rPr>
                <w:rFonts w:ascii="宋体" w:hAnsi="宋体" w:eastAsia="宋体" w:cs="宋体"/>
                <w:sz w:val="21"/>
              </w:rPr>
              <w:t>×</w:t>
            </w:r>
            <w:r>
              <w:rPr>
                <w:rFonts w:ascii="Calibri" w:hAnsi="Calibri" w:eastAsia="Calibri" w:cs="Calibri"/>
                <w:sz w:val="21"/>
              </w:rPr>
              <w:t>70mm</w:t>
            </w:r>
            <w:r>
              <w:rPr>
                <w:rFonts w:ascii="宋体" w:hAnsi="宋体" w:eastAsia="宋体" w:cs="宋体"/>
                <w:sz w:val="21"/>
              </w:rPr>
              <w:t>×</w:t>
            </w:r>
            <w:r>
              <w:rPr>
                <w:rFonts w:ascii="Calibri" w:hAnsi="Calibri" w:eastAsia="Calibri" w:cs="Calibri"/>
                <w:sz w:val="21"/>
              </w:rPr>
              <w:t>4.5mm</w:t>
            </w:r>
            <w:r>
              <w:rPr>
                <w:rFonts w:ascii="宋体" w:hAnsi="宋体" w:eastAsia="宋体" w:cs="宋体"/>
                <w:sz w:val="21"/>
              </w:rPr>
              <w:t>，柱与板之间设置。</w:t>
            </w:r>
          </w:p>
          <w:p>
            <w:pPr>
              <w:pStyle w:val="4"/>
              <w:numPr>
                <w:ilvl w:val="0"/>
                <w:numId w:val="1"/>
              </w:numPr>
              <w:jc w:val="left"/>
            </w:pPr>
            <w:r>
              <w:rPr>
                <w:rFonts w:ascii="宋体" w:hAnsi="宋体" w:eastAsia="宋体" w:cs="宋体"/>
                <w:sz w:val="21"/>
              </w:rPr>
              <w:t>板和板之间、板和立柱、托架之间架通过螺栓连接。</w:t>
            </w:r>
          </w:p>
          <w:p>
            <w:pPr>
              <w:pStyle w:val="4"/>
              <w:numPr>
                <w:ilvl w:val="0"/>
                <w:numId w:val="1"/>
              </w:numPr>
              <w:jc w:val="left"/>
            </w:pPr>
            <w:r>
              <w:rPr>
                <w:rFonts w:ascii="宋体" w:hAnsi="宋体" w:eastAsia="宋体" w:cs="宋体"/>
                <w:sz w:val="21"/>
              </w:rPr>
              <w:t xml:space="preserve">路侧波形钢梁护栏应位于公路路肩内，特殊情况下护栏面可与路肩左侧边缘线重合，立柱外侧土路肩保护层厚度不少于 </w:t>
            </w:r>
            <w:r>
              <w:rPr>
                <w:rFonts w:ascii="Calibri" w:hAnsi="Calibri" w:eastAsia="Calibri" w:cs="Calibri"/>
                <w:sz w:val="21"/>
              </w:rPr>
              <w:t xml:space="preserve">25 </w:t>
            </w:r>
            <w:r>
              <w:rPr>
                <w:rFonts w:ascii="宋体" w:hAnsi="宋体" w:eastAsia="宋体" w:cs="宋体"/>
                <w:sz w:val="21"/>
              </w:rPr>
              <w:t>厘米；</w:t>
            </w:r>
          </w:p>
          <w:p>
            <w:pPr>
              <w:pStyle w:val="4"/>
              <w:numPr>
                <w:ilvl w:val="0"/>
                <w:numId w:val="1"/>
              </w:numPr>
              <w:jc w:val="left"/>
            </w:pPr>
            <w:r>
              <w:rPr>
                <w:rFonts w:ascii="宋体" w:hAnsi="宋体" w:eastAsia="宋体" w:cs="宋体"/>
                <w:sz w:val="21"/>
              </w:rPr>
              <w:t>波形钢梁护栏的横梁中心高度， 从路面算起至连接螺栓孔的中心距离为</w:t>
            </w:r>
            <w:r>
              <w:rPr>
                <w:rFonts w:ascii="Calibri" w:hAnsi="Calibri" w:eastAsia="Calibri" w:cs="Calibri"/>
                <w:sz w:val="21"/>
              </w:rPr>
              <w:t>600mm;</w:t>
            </w:r>
          </w:p>
          <w:p>
            <w:pPr>
              <w:pStyle w:val="4"/>
              <w:numPr>
                <w:ilvl w:val="0"/>
                <w:numId w:val="1"/>
              </w:numPr>
              <w:jc w:val="left"/>
            </w:pPr>
            <w:r>
              <w:rPr>
                <w:rFonts w:ascii="宋体" w:hAnsi="宋体" w:eastAsia="宋体" w:cs="宋体"/>
                <w:sz w:val="21"/>
              </w:rPr>
              <w:t xml:space="preserve">行车方向的上游设臵地锚式端头，位置适宜的可设置外展式端头；下游护栏 端头设置采用圆头式，且应顺着路线方向设置，不得设置外展式端头，上、下游护栏端头的设计长度均按 </w:t>
            </w:r>
            <w:r>
              <w:rPr>
                <w:rFonts w:ascii="Calibri" w:hAnsi="Calibri" w:eastAsia="Calibri" w:cs="Calibri"/>
                <w:sz w:val="21"/>
              </w:rPr>
              <w:t xml:space="preserve">12 </w:t>
            </w:r>
            <w:r>
              <w:rPr>
                <w:rFonts w:ascii="宋体" w:hAnsi="宋体" w:eastAsia="宋体" w:cs="宋体"/>
                <w:sz w:val="21"/>
              </w:rPr>
              <w:t>米计算，护栏面的任何部份不得侵入公路建筑限界内；</w:t>
            </w:r>
          </w:p>
          <w:p>
            <w:pPr>
              <w:pStyle w:val="4"/>
              <w:numPr>
                <w:ilvl w:val="0"/>
                <w:numId w:val="1"/>
              </w:numPr>
              <w:jc w:val="left"/>
            </w:pPr>
            <w:r>
              <w:rPr>
                <w:rFonts w:ascii="宋体" w:hAnsi="宋体" w:eastAsia="宋体" w:cs="宋体"/>
                <w:sz w:val="21"/>
              </w:rPr>
              <w:t xml:space="preserve">立柱外侧土地路肩保护层宽度不足（小于 </w:t>
            </w:r>
            <w:r>
              <w:rPr>
                <w:rFonts w:ascii="Calibri" w:hAnsi="Calibri" w:eastAsia="Calibri" w:cs="Calibri"/>
                <w:sz w:val="21"/>
              </w:rPr>
              <w:t xml:space="preserve">25 </w:t>
            </w:r>
            <w:r>
              <w:rPr>
                <w:rFonts w:ascii="宋体" w:hAnsi="宋体" w:eastAsia="宋体" w:cs="宋体"/>
                <w:sz w:val="21"/>
              </w:rPr>
              <w:t>厘米） 时，应采用预埋施工；</w:t>
            </w:r>
          </w:p>
          <w:p>
            <w:pPr>
              <w:pStyle w:val="4"/>
              <w:numPr>
                <w:ilvl w:val="0"/>
                <w:numId w:val="1"/>
              </w:numPr>
              <w:jc w:val="left"/>
            </w:pPr>
            <w:r>
              <w:rPr>
                <w:rFonts w:ascii="宋体" w:hAnsi="宋体" w:eastAsia="宋体" w:cs="宋体"/>
                <w:sz w:val="21"/>
              </w:rPr>
              <w:t>预埋式施工时注意预埋有关预埋构件，施工完毕，基坑应分层回填夯实；</w:t>
            </w:r>
          </w:p>
          <w:p>
            <w:pPr>
              <w:pStyle w:val="4"/>
              <w:numPr>
                <w:ilvl w:val="0"/>
                <w:numId w:val="1"/>
              </w:numPr>
              <w:jc w:val="left"/>
            </w:pPr>
            <w:r>
              <w:rPr>
                <w:rFonts w:ascii="宋体" w:hAnsi="宋体" w:eastAsia="宋体" w:cs="宋体"/>
                <w:sz w:val="21"/>
              </w:rPr>
              <w:t>所有裸露钢筋构件均应按施工要求进行防腐处理；</w:t>
            </w:r>
          </w:p>
          <w:p>
            <w:pPr>
              <w:pStyle w:val="4"/>
              <w:numPr>
                <w:ilvl w:val="0"/>
                <w:numId w:val="1"/>
              </w:numPr>
              <w:jc w:val="left"/>
            </w:pPr>
            <w:r>
              <w:rPr>
                <w:rFonts w:ascii="宋体" w:hAnsi="宋体" w:eastAsia="宋体" w:cs="宋体"/>
                <w:sz w:val="21"/>
              </w:rPr>
              <w:t>所有螺栓均采用防盗螺栓。</w:t>
            </w:r>
          </w:p>
          <w:p>
            <w:pPr>
              <w:pStyle w:val="4"/>
              <w:numPr>
                <w:ilvl w:val="0"/>
                <w:numId w:val="1"/>
              </w:numPr>
              <w:jc w:val="left"/>
            </w:pPr>
            <w:r>
              <w:rPr>
                <w:rFonts w:ascii="Calibri" w:hAnsi="Calibri" w:eastAsia="Calibri" w:cs="Calibri"/>
                <w:sz w:val="21"/>
              </w:rPr>
              <w:t>444</w:t>
            </w:r>
            <w:r>
              <w:rPr>
                <w:rFonts w:ascii="宋体" w:hAnsi="宋体" w:eastAsia="宋体" w:cs="宋体"/>
                <w:sz w:val="21"/>
              </w:rPr>
              <w:t>米原护栏倒塌，重新安装。</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自合同签订之日起90日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得荣县（采购人指定的地点）</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中标人签订合同后 ，达到付款条件起 7 日内，支付合同总金额的 30.00%。</w:t>
      </w:r>
    </w:p>
    <w:p>
      <w:pPr>
        <w:pStyle w:val="4"/>
      </w:pPr>
      <w:r>
        <w:t>采购包1： 付款条件说明： 货物到场经检验合格后 ，达到付款条件起 7 日内，支付合同总金额的 50.00%。</w:t>
      </w:r>
    </w:p>
    <w:p>
      <w:pPr>
        <w:pStyle w:val="4"/>
      </w:pPr>
      <w:r>
        <w:t>采购包1： 付款条件说明： 全部安装完成经采购人验收合格，第三方机构审计结算后 ，达到付款条件起 7 日内，支付合同总金额的 17.00%。</w:t>
      </w:r>
    </w:p>
    <w:p>
      <w:pPr>
        <w:pStyle w:val="4"/>
      </w:pPr>
      <w:r>
        <w:t>采购包1： 付款条件说明： 质保期满后 ，达到付款条件起 7 日内，支付合同总金额的 3.00%。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符合国家、行业标准、四川省地方标准规定的验收标准。严格按照《财政部关 于进一步加强政府釆购需求和履约验收管理的指导意见》（财库〔2016） 205号）及《政府釆购需求管理办法》（财库（2021） 22号）的要求组织验收。验收应以釆购合同、招标文件及其补充文件、国家或行业相关标准为验收的主要依据。</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质保期自项目竣工验收合格之日起算24个月。质保期内按国家规定执行；在质保期内，如果证实项目有缺陷，包括潜在的缺陷或使用不符合要求的材料等，中标人在接到通知后12小时内响应到场，24小时内完成维修或更换，并承担修理调换的费用，保证达到合同规定的技术及性能要求。如果中标人在收到通知后15日内没有弥补缺陷，采购人可自行采取必要的补救措施，所产生费用从剩余款项中扣除并由中标人承担相应的风险，采购人同时保留通过法律途径进行索赔的权利。</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1.非乙方原因造成项目时间拖延，乙方不承担责任。 2.乙方原因造成项目时间拖延，超过一个月的，应按照逾期的时间向甲方支付合同总金额5%的违约金。 3.质量保证期内乙方更换下来的零部件所有权属于乙方。 4.乙方原因导致延迟交货达一个月以上，甲方有权解除合同，同时乙方应按照逾期的时间向甲方支付合同总金额5%的违约金。 5.一方破产或无力偿还债务，另一方可随时向其发出书面通知解除本合同，解除合同并不损害或影响任何其它可能的补救措施。 6.任何一方由于战争、台风、地震、水灾、罢工、瘟疫、公共安全卫生二级或以上响应和其它不能预见、不可避免和不能克服的事件而影响其履行合同所规定的义务的，应当将发生的不可抗力事件的情况以传真或特快专递方式通知另一方，并在事件发生后14天内以传真、特快专递、邮件等方式将证明文件提交另一方。 7.受影响的一方对因不可抗力而不能履行或延迟履行合同义务不承担责任，但应在不可抗力结束或消除后48小时内以传真、特快专递、邮件等方式通知另一方。 解决争议的办法： 在履行本合同中发生的或与本合同有关的争端，双方应通过友好协商解决，经协商不能达成协议时，可向项目所在地人民法院提请诉讼。</w:t>
      </w:r>
    </w:p>
    <w:p>
      <w:pPr>
        <w:pStyle w:val="4"/>
        <w:jc w:val="left"/>
        <w:outlineLvl w:val="2"/>
      </w:pPr>
      <w:r>
        <w:rPr>
          <w:b/>
          <w:sz w:val="28"/>
        </w:rPr>
        <w:t>3.5其他要求</w:t>
      </w:r>
    </w:p>
    <w:p>
      <w:pPr>
        <w:pStyle w:val="4"/>
      </w:pPr>
    </w:p>
    <w:p>
      <w:pPr>
        <w:pStyle w:val="4"/>
      </w:pPr>
    </w:p>
    <w:p>
      <w:pPr>
        <w:pStyle w:val="4"/>
      </w:pPr>
      <w: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lNGQ0YmM1MWE5NmI0ZTA2YzdlNmI0ZDgzNzg4MGIifQ=="/>
  </w:docVars>
  <w:rsids>
    <w:rsidRoot w:val="50DC6D73"/>
    <w:rsid w:val="50DC6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2023-11-06T09:00:00Z</dcterms:created>
  <dc:creator>。</dc:creator>
  <cp:lastModifiedBy>。</cp:lastModifiedBy>
  <dcterms:modified xsi:type="dcterms:W3CDTF">2023-11-06T09:05:16Z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66498C5F36B04D30BF86CA3BC6A72B41_11</vt:lpwstr>
  </property>
</Properties>
</file>