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sz w:val="32"/>
          <w:szCs w:val="32"/>
          <w:lang w:val="en-US" w:eastAsia="zh-CN"/>
        </w:rPr>
      </w:pPr>
      <w:bookmarkStart w:id="0" w:name="_GoBack"/>
      <w:r>
        <w:rPr>
          <w:rFonts w:hint="eastAsia" w:ascii="宋体" w:hAnsi="宋体" w:eastAsia="宋体" w:cs="宋体"/>
          <w:sz w:val="32"/>
          <w:szCs w:val="32"/>
          <w:lang w:val="en-US" w:eastAsia="zh-CN"/>
        </w:rPr>
        <w:t>采购需求</w:t>
      </w:r>
    </w:p>
    <w:bookmarkEnd w:id="0"/>
    <w:p>
      <w:pPr>
        <w:adjustRightInd w:val="0"/>
        <w:snapToGrid w:val="0"/>
        <w:spacing w:line="360" w:lineRule="auto"/>
        <w:ind w:left="210"/>
        <w:jc w:val="left"/>
        <w:rPr>
          <w:rFonts w:hint="eastAsia" w:ascii="宋体" w:hAnsi="宋体" w:eastAsia="宋体" w:cs="宋体"/>
          <w:b/>
          <w:bCs/>
          <w:sz w:val="24"/>
          <w:szCs w:val="24"/>
        </w:rPr>
      </w:pPr>
      <w:r>
        <w:rPr>
          <w:rFonts w:hint="eastAsia" w:ascii="宋体" w:hAnsi="宋体" w:eastAsia="宋体" w:cs="宋体"/>
          <w:b/>
          <w:bCs/>
          <w:sz w:val="24"/>
          <w:szCs w:val="24"/>
        </w:rPr>
        <w:t>一、项目概况</w:t>
      </w:r>
    </w:p>
    <w:p>
      <w:pPr>
        <w:spacing w:line="360" w:lineRule="auto"/>
        <w:jc w:val="left"/>
        <w:rPr>
          <w:rFonts w:hint="eastAsia" w:ascii="宋体" w:hAnsi="宋体" w:eastAsia="宋体" w:cs="宋体"/>
          <w:bCs/>
          <w:sz w:val="24"/>
          <w:szCs w:val="24"/>
        </w:rPr>
      </w:pPr>
      <w:r>
        <w:rPr>
          <w:rFonts w:hint="eastAsia" w:ascii="宋体" w:hAnsi="宋体" w:eastAsia="宋体" w:cs="宋体"/>
          <w:sz w:val="24"/>
          <w:szCs w:val="24"/>
        </w:rPr>
        <w:t>1、本项目为凉山彝族自治州宁南生态环境局宁南县乡镇集中式饮用水源地保护区环境整治项目货物服务招标</w:t>
      </w:r>
      <w:r>
        <w:rPr>
          <w:rFonts w:hint="eastAsia" w:ascii="宋体" w:hAnsi="宋体" w:eastAsia="宋体" w:cs="宋体"/>
          <w:bCs/>
          <w:sz w:val="24"/>
          <w:szCs w:val="24"/>
        </w:rPr>
        <w:t>，供货安装到指定位置，包含质保期一年内设施设备的运行维护。采购内容详见清单。</w:t>
      </w:r>
    </w:p>
    <w:p>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2、本项目所属行业：工业。</w:t>
      </w:r>
    </w:p>
    <w:p>
      <w:pPr>
        <w:spacing w:line="360" w:lineRule="auto"/>
        <w:jc w:val="left"/>
        <w:rPr>
          <w:rFonts w:hint="eastAsia" w:ascii="宋体" w:hAnsi="宋体" w:eastAsia="宋体" w:cs="宋体"/>
          <w:b/>
          <w:sz w:val="24"/>
          <w:szCs w:val="24"/>
        </w:rPr>
      </w:pPr>
      <w:r>
        <w:rPr>
          <w:rFonts w:hint="eastAsia" w:ascii="宋体" w:hAnsi="宋体" w:eastAsia="宋体" w:cs="宋体"/>
          <w:bCs/>
          <w:sz w:val="24"/>
          <w:szCs w:val="24"/>
        </w:rPr>
        <w:t>3、项目属性：货物类采购项目。</w:t>
      </w:r>
    </w:p>
    <w:p>
      <w:pPr>
        <w:adjustRightInd w:val="0"/>
        <w:snapToGrid w:val="0"/>
        <w:spacing w:line="360" w:lineRule="auto"/>
        <w:ind w:left="210"/>
        <w:jc w:val="left"/>
        <w:rPr>
          <w:rFonts w:hint="eastAsia" w:ascii="宋体" w:hAnsi="宋体" w:eastAsia="宋体" w:cs="宋体"/>
          <w:b/>
          <w:bCs/>
          <w:sz w:val="24"/>
          <w:szCs w:val="24"/>
        </w:rPr>
      </w:pPr>
      <w:r>
        <w:rPr>
          <w:rFonts w:hint="eastAsia" w:ascii="宋体" w:hAnsi="宋体" w:eastAsia="宋体" w:cs="宋体"/>
          <w:b/>
          <w:bCs/>
          <w:sz w:val="24"/>
          <w:szCs w:val="24"/>
        </w:rPr>
        <w:t>二、技术参数及要求</w:t>
      </w:r>
    </w:p>
    <w:p>
      <w:pPr>
        <w:pStyle w:val="7"/>
        <w:adjustRightInd w:val="0"/>
        <w:snapToGrid w:val="0"/>
        <w:ind w:firstLine="0" w:firstLineChars="0"/>
        <w:rPr>
          <w:rFonts w:hint="eastAsia" w:ascii="宋体" w:hAnsi="宋体" w:eastAsia="宋体" w:cs="宋体"/>
          <w:b/>
          <w:bCs/>
          <w:sz w:val="24"/>
          <w:szCs w:val="24"/>
        </w:rPr>
      </w:pPr>
      <w:r>
        <w:rPr>
          <w:rFonts w:hint="eastAsia" w:ascii="宋体" w:hAnsi="宋体" w:eastAsia="宋体" w:cs="宋体"/>
          <w:b/>
          <w:bCs/>
          <w:sz w:val="24"/>
          <w:szCs w:val="24"/>
        </w:rPr>
        <w:t>1、采购清单</w:t>
      </w:r>
    </w:p>
    <w:tbl>
      <w:tblPr>
        <w:tblStyle w:val="5"/>
        <w:tblpPr w:leftFromText="180" w:rightFromText="180" w:vertAnchor="text" w:horzAnchor="page" w:tblpX="1167" w:tblpY="617"/>
        <w:tblOverlap w:val="never"/>
        <w:tblW w:w="9897" w:type="dxa"/>
        <w:tblInd w:w="0" w:type="dxa"/>
        <w:tblLayout w:type="fixed"/>
        <w:tblCellMar>
          <w:top w:w="0" w:type="dxa"/>
          <w:left w:w="108" w:type="dxa"/>
          <w:bottom w:w="0" w:type="dxa"/>
          <w:right w:w="108" w:type="dxa"/>
        </w:tblCellMar>
      </w:tblPr>
      <w:tblGrid>
        <w:gridCol w:w="1058"/>
        <w:gridCol w:w="5879"/>
        <w:gridCol w:w="1085"/>
        <w:gridCol w:w="670"/>
        <w:gridCol w:w="1205"/>
      </w:tblGrid>
      <w:tr>
        <w:tblPrEx>
          <w:tblCellMar>
            <w:top w:w="0" w:type="dxa"/>
            <w:left w:w="108" w:type="dxa"/>
            <w:bottom w:w="0" w:type="dxa"/>
            <w:right w:w="108" w:type="dxa"/>
          </w:tblCellMar>
        </w:tblPrEx>
        <w:trPr>
          <w:trHeight w:val="405" w:hRule="atLeast"/>
        </w:trPr>
        <w:tc>
          <w:tcPr>
            <w:tcW w:w="10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序号</w:t>
            </w:r>
          </w:p>
        </w:tc>
        <w:tc>
          <w:tcPr>
            <w:tcW w:w="587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材料/设备</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数量</w:t>
            </w:r>
          </w:p>
        </w:tc>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单位</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备注</w:t>
            </w:r>
          </w:p>
        </w:tc>
      </w:tr>
      <w:tr>
        <w:tblPrEx>
          <w:tblCellMar>
            <w:top w:w="0" w:type="dxa"/>
            <w:left w:w="108" w:type="dxa"/>
            <w:bottom w:w="0" w:type="dxa"/>
            <w:right w:w="108" w:type="dxa"/>
          </w:tblCellMar>
        </w:tblPrEx>
        <w:trPr>
          <w:trHeight w:val="405" w:hRule="atLeast"/>
        </w:trPr>
        <w:tc>
          <w:tcPr>
            <w:tcW w:w="9897" w:type="dxa"/>
            <w:gridSpan w:val="5"/>
            <w:tcBorders>
              <w:top w:val="single" w:color="auto"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b/>
                <w:bCs/>
                <w:sz w:val="24"/>
                <w:szCs w:val="24"/>
              </w:rPr>
            </w:pPr>
            <w:r>
              <w:rPr>
                <w:rFonts w:hint="eastAsia" w:ascii="宋体" w:hAnsi="宋体" w:eastAsia="宋体" w:cs="宋体"/>
                <w:b/>
                <w:bCs/>
                <w:kern w:val="0"/>
                <w:sz w:val="24"/>
                <w:szCs w:val="24"/>
                <w:lang w:bidi="ar"/>
              </w:rPr>
              <w:t>一、污染治理与生态修复方面</w:t>
            </w:r>
          </w:p>
        </w:tc>
      </w:tr>
      <w:tr>
        <w:tblPrEx>
          <w:tblCellMar>
            <w:top w:w="0" w:type="dxa"/>
            <w:left w:w="108" w:type="dxa"/>
            <w:bottom w:w="0" w:type="dxa"/>
            <w:right w:w="108" w:type="dxa"/>
          </w:tblCellMar>
        </w:tblPrEx>
        <w:trPr>
          <w:trHeight w:val="39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成品30方玻璃钢缠绕调节池</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台</w:t>
            </w:r>
          </w:p>
        </w:tc>
        <w:tc>
          <w:tcPr>
            <w:tcW w:w="12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90"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提升泵</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台</w:t>
            </w:r>
          </w:p>
        </w:tc>
        <w:tc>
          <w:tcPr>
            <w:tcW w:w="12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9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3</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一体化A2O污水处理设施</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1</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套</w:t>
            </w:r>
          </w:p>
        </w:tc>
        <w:tc>
          <w:tcPr>
            <w:tcW w:w="12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textAlignment w:val="center"/>
              <w:rPr>
                <w:rFonts w:hint="eastAsia" w:ascii="宋体" w:hAnsi="宋体" w:eastAsia="宋体" w:cs="宋体"/>
                <w:sz w:val="24"/>
                <w:szCs w:val="24"/>
              </w:rPr>
            </w:pPr>
            <w:r>
              <w:rPr>
                <w:rFonts w:hint="eastAsia" w:ascii="宋体" w:hAnsi="宋体" w:eastAsia="宋体" w:cs="宋体"/>
                <w:b/>
                <w:bCs/>
                <w:sz w:val="24"/>
                <w:szCs w:val="24"/>
              </w:rPr>
              <w:t>核心产品</w:t>
            </w:r>
          </w:p>
        </w:tc>
      </w:tr>
      <w:tr>
        <w:tblPrEx>
          <w:tblCellMar>
            <w:top w:w="0" w:type="dxa"/>
            <w:left w:w="108" w:type="dxa"/>
            <w:bottom w:w="0" w:type="dxa"/>
            <w:right w:w="108" w:type="dxa"/>
          </w:tblCellMar>
        </w:tblPrEx>
        <w:trPr>
          <w:trHeight w:val="407"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4</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潜污泵</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395</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台</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6"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5</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textAlignment w:val="center"/>
              <w:rPr>
                <w:rFonts w:hint="eastAsia" w:ascii="宋体" w:hAnsi="宋体" w:eastAsia="宋体" w:cs="宋体"/>
                <w:sz w:val="24"/>
                <w:szCs w:val="24"/>
              </w:rPr>
            </w:pPr>
            <w:r>
              <w:rPr>
                <w:rFonts w:hint="eastAsia" w:ascii="宋体" w:hAnsi="宋体" w:eastAsia="宋体" w:cs="宋体"/>
                <w:kern w:val="0"/>
                <w:sz w:val="24"/>
                <w:szCs w:val="24"/>
                <w:lang w:bidi="ar"/>
              </w:rPr>
              <w:t>DN50防爆防冻涤纶丝水带（粪污输送管）</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31600</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米</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989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b/>
                <w:bCs/>
                <w:kern w:val="0"/>
                <w:sz w:val="24"/>
                <w:szCs w:val="24"/>
                <w:lang w:bidi="ar"/>
              </w:rPr>
              <w:t>二、风险源应急防护方面</w:t>
            </w:r>
          </w:p>
        </w:tc>
      </w:tr>
      <w:tr>
        <w:tblPrEx>
          <w:tblCellMar>
            <w:top w:w="0" w:type="dxa"/>
            <w:left w:w="108" w:type="dxa"/>
            <w:bottom w:w="0" w:type="dxa"/>
            <w:right w:w="108" w:type="dxa"/>
          </w:tblCellMar>
        </w:tblPrEx>
        <w:trPr>
          <w:trHeight w:val="405" w:hRule="atLeast"/>
        </w:trPr>
        <w:tc>
          <w:tcPr>
            <w:tcW w:w="9897" w:type="dxa"/>
            <w:gridSpan w:val="5"/>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b/>
                <w:bCs/>
                <w:kern w:val="0"/>
                <w:sz w:val="24"/>
                <w:szCs w:val="24"/>
                <w:lang w:bidi="ar"/>
              </w:rPr>
              <w:t>（一）应急预案修订3项</w:t>
            </w:r>
          </w:p>
        </w:tc>
      </w:tr>
      <w:tr>
        <w:tblPrEx>
          <w:tblCellMar>
            <w:top w:w="0" w:type="dxa"/>
            <w:left w:w="108" w:type="dxa"/>
            <w:bottom w:w="0" w:type="dxa"/>
            <w:right w:w="108" w:type="dxa"/>
          </w:tblCellMar>
        </w:tblPrEx>
        <w:trPr>
          <w:trHeight w:val="90"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西瑶镇把口村红旗水库集中式饮用水水源水源地突发环境事件应急预案修订（包括应急预案文本，风险评估报告和专题图）</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p>
            <w:pPr>
              <w:pStyle w:val="2"/>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496"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地下水水源地突发环境事件应急预案编制（包括应急预案文本，风险评估报告和专题图）</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项</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29</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50" w:hRule="atLeast"/>
        </w:trPr>
        <w:tc>
          <w:tcPr>
            <w:tcW w:w="989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（二）应急物资储备及应急防护提升建设13项</w:t>
            </w: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PVC编织袋</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沙袋</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190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铁铲（平头、尖头）</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52</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把</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铁丝</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410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米</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锄头</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39</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把</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镰刀</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65</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把</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剪刀</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65</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把</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链条锁</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71</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把</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密眼渔网兜</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不锈钢抄网杆</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把</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加厚塑料手提桶</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31</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660L应急收纳箱</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应急堆肥箱</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带切割装置潜水排污泵</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75应急PE管</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1250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米</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氧化钙</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280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千克</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次氯酸钠（固体）</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280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千克</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含氯泡腾片</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件</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非氧化性杀菌灭藻剂</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桶</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管道紫外线消毒器</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吸油毡</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包</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泄露吸附固化剂</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千克</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分体式反光雨衣</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24</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雨靴</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双</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25</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水环境应急工作背包</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一次性医用手套</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双</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27</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安全帽</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65</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顶</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28</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警戒线</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盒</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29</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锥形警戒桩</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165</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安全绳</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390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米</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31</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防割手套</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双</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加长型防护胶手套</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双</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33</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防护胶手套</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双</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34</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线手套</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650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双</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医用急救箱（配高配药包）</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36</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防水塑料布</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260</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米</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37</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应急工作服</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38</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伸缩救援杆</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39</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救生衣</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件</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40</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防爆手电筒</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37</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41</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感应式头灯</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37</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42</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4位50米卷线盘插座</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43</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防爆对讲器</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44</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手持喊话器</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45</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智能警戒监控装备</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29</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46</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物资存储架</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24</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47</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手推车</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辆</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48</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应急物资储备库标识标牌（含应急物资分类标识牌，应急物资储备库标牌，储备库应急物资清单宣传牌、安全标识牌等）</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49</w:t>
            </w:r>
          </w:p>
        </w:tc>
        <w:tc>
          <w:tcPr>
            <w:tcW w:w="587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灭火器</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67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989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b/>
                <w:bCs/>
                <w:kern w:val="0"/>
                <w:sz w:val="24"/>
                <w:szCs w:val="24"/>
                <w:lang w:bidi="ar"/>
              </w:rPr>
              <w:t>三、水环境监管能力建设方面（包含质保期一年运维）</w:t>
            </w: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全彩网络高清智能球机</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行业通用型NVR</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支架</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个</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摄像机立杆</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设备箱</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24口交换机</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587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其他配套线缆安装及服务</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批</w:t>
            </w: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bl>
    <w:p>
      <w:pPr>
        <w:pStyle w:val="2"/>
        <w:spacing w:line="360" w:lineRule="auto"/>
        <w:rPr>
          <w:rFonts w:hint="eastAsia" w:ascii="宋体" w:hAnsi="宋体" w:eastAsia="宋体" w:cs="宋体"/>
          <w:sz w:val="24"/>
          <w:szCs w:val="24"/>
        </w:rPr>
      </w:pPr>
      <w:r>
        <w:rPr>
          <w:rFonts w:hint="eastAsia" w:ascii="宋体" w:hAnsi="宋体" w:eastAsia="宋体" w:cs="宋体"/>
          <w:caps w:val="0"/>
          <w:sz w:val="24"/>
          <w:szCs w:val="24"/>
          <w:shd w:val="clear" w:color="auto" w:fill="FFFFFF"/>
        </w:rPr>
        <w:t>2、技术参数</w:t>
      </w:r>
    </w:p>
    <w:p>
      <w:pPr>
        <w:pStyle w:val="8"/>
        <w:spacing w:line="360" w:lineRule="auto"/>
        <w:jc w:val="both"/>
        <w:rPr>
          <w:rStyle w:val="9"/>
          <w:rFonts w:hint="eastAsia" w:ascii="宋体" w:hAnsi="宋体" w:eastAsia="宋体" w:cs="宋体"/>
          <w:sz w:val="24"/>
          <w:szCs w:val="24"/>
        </w:rPr>
      </w:pPr>
      <w:r>
        <w:rPr>
          <w:rStyle w:val="9"/>
          <w:rFonts w:hint="eastAsia" w:ascii="宋体" w:hAnsi="宋体" w:eastAsia="宋体" w:cs="宋体"/>
          <w:sz w:val="24"/>
          <w:szCs w:val="24"/>
        </w:rPr>
        <w:t>2.1污染治理与生态修复方面</w:t>
      </w:r>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44"/>
        <w:gridCol w:w="1247"/>
        <w:gridCol w:w="879"/>
        <w:gridCol w:w="5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序号</w:t>
            </w:r>
          </w:p>
        </w:tc>
        <w:tc>
          <w:tcPr>
            <w:tcW w:w="1444" w:type="dxa"/>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询价材料/设备</w:t>
            </w:r>
          </w:p>
        </w:tc>
        <w:tc>
          <w:tcPr>
            <w:tcW w:w="1247" w:type="dxa"/>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数量</w:t>
            </w:r>
          </w:p>
        </w:tc>
        <w:tc>
          <w:tcPr>
            <w:tcW w:w="879" w:type="dxa"/>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单位</w:t>
            </w:r>
          </w:p>
        </w:tc>
        <w:tc>
          <w:tcPr>
            <w:tcW w:w="5631" w:type="dxa"/>
            <w:noWrap w:val="0"/>
            <w:vAlign w:val="top"/>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444"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成品30方玻璃钢缠绕调节池</w:t>
            </w:r>
          </w:p>
        </w:tc>
        <w:tc>
          <w:tcPr>
            <w:tcW w:w="124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7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5631" w:type="dxa"/>
            <w:noWrap w:val="0"/>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pacing w:val="2"/>
                <w:sz w:val="24"/>
                <w:szCs w:val="24"/>
              </w:rPr>
              <w:t>▲</w:t>
            </w:r>
            <w:r>
              <w:rPr>
                <w:rFonts w:hint="eastAsia" w:ascii="宋体" w:hAnsi="宋体" w:eastAsia="宋体" w:cs="宋体"/>
                <w:kern w:val="0"/>
                <w:sz w:val="24"/>
                <w:szCs w:val="24"/>
                <w:lang w:bidi="ar"/>
              </w:rPr>
              <w:t>≥6.5m×2.5m×2.65m(有效容积≥30m</w:t>
            </w:r>
            <w:r>
              <w:rPr>
                <w:rFonts w:hint="eastAsia" w:ascii="宋体" w:hAnsi="宋体" w:eastAsia="宋体" w:cs="宋体"/>
                <w:kern w:val="0"/>
                <w:sz w:val="24"/>
                <w:szCs w:val="24"/>
                <w:vertAlign w:val="superscript"/>
                <w:lang w:bidi="ar"/>
              </w:rPr>
              <w:t>3</w:t>
            </w:r>
            <w:r>
              <w:rPr>
                <w:rFonts w:hint="eastAsia" w:ascii="宋体" w:hAnsi="宋体" w:eastAsia="宋体" w:cs="宋体"/>
                <w:kern w:val="0"/>
                <w:sz w:val="24"/>
                <w:szCs w:val="24"/>
                <w:lang w:bidi="ar"/>
              </w:rPr>
              <w:t>)，玻璃钢缠绕（壁厚≥8mm）；配套必要管材管件，供货到指定位置并安装。须按照业主要求配合土建施工方进行安装调试。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444"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提升泵</w:t>
            </w:r>
          </w:p>
        </w:tc>
        <w:tc>
          <w:tcPr>
            <w:tcW w:w="124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87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5631" w:type="dxa"/>
            <w:noWrap w:val="0"/>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pacing w:val="2"/>
                <w:sz w:val="24"/>
                <w:szCs w:val="24"/>
              </w:rPr>
              <w:t>▲</w:t>
            </w:r>
            <w:r>
              <w:rPr>
                <w:rFonts w:hint="eastAsia" w:ascii="宋体" w:hAnsi="宋体" w:eastAsia="宋体" w:cs="宋体"/>
                <w:kern w:val="0"/>
                <w:sz w:val="24"/>
                <w:szCs w:val="24"/>
                <w:lang w:bidi="ar"/>
              </w:rPr>
              <w:t>带液位计。32WQ5-7-0.37，流量≥5m</w:t>
            </w:r>
            <w:r>
              <w:rPr>
                <w:rFonts w:hint="eastAsia" w:ascii="宋体" w:hAnsi="宋体" w:eastAsia="宋体" w:cs="宋体"/>
                <w:kern w:val="0"/>
                <w:sz w:val="24"/>
                <w:szCs w:val="24"/>
                <w:vertAlign w:val="superscript"/>
                <w:lang w:bidi="ar"/>
              </w:rPr>
              <w:t>3</w:t>
            </w:r>
            <w:r>
              <w:rPr>
                <w:rFonts w:hint="eastAsia" w:ascii="宋体" w:hAnsi="宋体" w:eastAsia="宋体" w:cs="宋体"/>
                <w:kern w:val="0"/>
                <w:sz w:val="24"/>
                <w:szCs w:val="24"/>
                <w:lang w:bidi="ar"/>
              </w:rPr>
              <w:t>/h，扬程≥7m，功率≥0.37kW，材质铸铁，全铜芯电机；供货到指定位置并安装。须按照业主要求配合土建施工方进行安装调试。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444"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一体化A2O污水处理设施</w:t>
            </w:r>
            <w:r>
              <w:rPr>
                <w:rFonts w:hint="eastAsia" w:ascii="宋体" w:hAnsi="宋体" w:eastAsia="宋体" w:cs="宋体"/>
                <w:b/>
                <w:bCs/>
                <w:sz w:val="24"/>
                <w:szCs w:val="24"/>
              </w:rPr>
              <w:t>（核心产品）</w:t>
            </w:r>
          </w:p>
        </w:tc>
        <w:tc>
          <w:tcPr>
            <w:tcW w:w="124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87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5631" w:type="dxa"/>
            <w:noWrap w:val="0"/>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pacing w:val="2"/>
                <w:sz w:val="24"/>
                <w:szCs w:val="24"/>
              </w:rPr>
              <w:t>▲</w:t>
            </w:r>
            <w:r>
              <w:rPr>
                <w:rFonts w:hint="eastAsia" w:ascii="宋体" w:hAnsi="宋体" w:eastAsia="宋体" w:cs="宋体"/>
                <w:kern w:val="0"/>
                <w:sz w:val="24"/>
                <w:szCs w:val="24"/>
                <w:lang w:bidi="ar"/>
              </w:rPr>
              <w:t>设计流量：Q=平均2.50m</w:t>
            </w:r>
            <w:r>
              <w:rPr>
                <w:rFonts w:hint="eastAsia" w:ascii="宋体" w:hAnsi="宋体" w:eastAsia="宋体" w:cs="宋体"/>
                <w:kern w:val="0"/>
                <w:sz w:val="24"/>
                <w:szCs w:val="24"/>
                <w:vertAlign w:val="superscript"/>
                <w:lang w:bidi="ar"/>
              </w:rPr>
              <w:t>3</w:t>
            </w:r>
            <w:r>
              <w:rPr>
                <w:rFonts w:hint="eastAsia" w:ascii="宋体" w:hAnsi="宋体" w:eastAsia="宋体" w:cs="宋体"/>
                <w:kern w:val="0"/>
                <w:sz w:val="24"/>
                <w:szCs w:val="24"/>
                <w:lang w:bidi="ar"/>
              </w:rPr>
              <w:t>/h；设备规模：≥60m</w:t>
            </w:r>
            <w:r>
              <w:rPr>
                <w:rFonts w:hint="eastAsia" w:ascii="宋体" w:hAnsi="宋体" w:eastAsia="宋体" w:cs="宋体"/>
                <w:kern w:val="0"/>
                <w:sz w:val="24"/>
                <w:szCs w:val="24"/>
                <w:vertAlign w:val="superscript"/>
                <w:lang w:bidi="ar"/>
              </w:rPr>
              <w:t>3</w:t>
            </w:r>
            <w:r>
              <w:rPr>
                <w:rFonts w:hint="eastAsia" w:ascii="宋体" w:hAnsi="宋体" w:eastAsia="宋体" w:cs="宋体"/>
                <w:kern w:val="0"/>
                <w:sz w:val="24"/>
                <w:szCs w:val="24"/>
                <w:lang w:bidi="ar"/>
              </w:rPr>
              <w:t>/d；一体化污水处理设备尺寸：≥2.4m×9.5m×2.5m，材质碳钢；设备箱体含设备间厚度≥6mm；碳钢防腐，内部环氧沥青防腐3遍，外部环氧富锌底漆+C2汽车漆；地上式设备。设备间配套铸铁回转鼓风机2套，塑钢PLC智能电控箱，除磷加药装置1套,4kg手提式干粉式灭火器2个；220V市电供电，全站总负荷≤3KW, 须按照业主要求配合土建施工方进行供货安装调试；</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功能：A</w:t>
            </w:r>
            <w:r>
              <w:rPr>
                <w:rFonts w:hint="eastAsia" w:ascii="宋体" w:hAnsi="宋体" w:eastAsia="宋体" w:cs="宋体"/>
                <w:kern w:val="0"/>
                <w:sz w:val="24"/>
                <w:szCs w:val="24"/>
                <w:vertAlign w:val="superscript"/>
                <w:lang w:bidi="ar"/>
              </w:rPr>
              <w:t>2</w:t>
            </w:r>
            <w:r>
              <w:rPr>
                <w:rFonts w:hint="eastAsia" w:ascii="宋体" w:hAnsi="宋体" w:eastAsia="宋体" w:cs="宋体"/>
                <w:kern w:val="0"/>
                <w:sz w:val="24"/>
                <w:szCs w:val="24"/>
                <w:lang w:bidi="ar"/>
              </w:rPr>
              <w:t>O工艺，一体化设备包含厌氧池、缺氧池、好氧池、沉淀池、除磷系统及设备间等。按照施工图纸设备配置清单配套污泥泵（Q≥5m</w:t>
            </w:r>
            <w:r>
              <w:rPr>
                <w:rFonts w:hint="eastAsia" w:ascii="宋体" w:hAnsi="宋体" w:eastAsia="宋体" w:cs="宋体"/>
                <w:kern w:val="0"/>
                <w:sz w:val="24"/>
                <w:szCs w:val="24"/>
                <w:vertAlign w:val="superscript"/>
                <w:lang w:bidi="ar"/>
              </w:rPr>
              <w:t>3</w:t>
            </w:r>
            <w:r>
              <w:rPr>
                <w:rFonts w:hint="eastAsia" w:ascii="宋体" w:hAnsi="宋体" w:eastAsia="宋体" w:cs="宋体"/>
                <w:kern w:val="0"/>
                <w:sz w:val="24"/>
                <w:szCs w:val="24"/>
                <w:lang w:bidi="ar"/>
              </w:rPr>
              <w:t>/h，H≥7m，N≥0.37kW）、混合液回流泵（Q≥5m</w:t>
            </w:r>
            <w:r>
              <w:rPr>
                <w:rFonts w:hint="eastAsia" w:ascii="宋体" w:hAnsi="宋体" w:eastAsia="宋体" w:cs="宋体"/>
                <w:kern w:val="0"/>
                <w:sz w:val="24"/>
                <w:szCs w:val="24"/>
                <w:vertAlign w:val="superscript"/>
                <w:lang w:bidi="ar"/>
              </w:rPr>
              <w:t>3</w:t>
            </w:r>
            <w:r>
              <w:rPr>
                <w:rFonts w:hint="eastAsia" w:ascii="宋体" w:hAnsi="宋体" w:eastAsia="宋体" w:cs="宋体"/>
                <w:kern w:val="0"/>
                <w:sz w:val="24"/>
                <w:szCs w:val="24"/>
                <w:lang w:bidi="ar"/>
              </w:rPr>
              <w:t>/h，H≥7m，N≥0.37kW）、风机（HC-40S）、曝气装置、加药装置（≥100L，含计量泵≥15L/h）、成套控制箱、PLC智能电控箱、自控设备、流量计计量设备、填料、内部电力电缆、全部安装辅材耗材等；出水水质执行四川省《农村生活污水处理设施水污染物排放标准》（DB51/2626-2019）一级标准。须按照业主要求供货到指定位置并安装调试。供货商负责质保期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444"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潜污泵（台套）</w:t>
            </w:r>
          </w:p>
        </w:tc>
        <w:tc>
          <w:tcPr>
            <w:tcW w:w="124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395</w:t>
            </w:r>
          </w:p>
        </w:tc>
        <w:tc>
          <w:tcPr>
            <w:tcW w:w="87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5631" w:type="dxa"/>
            <w:noWrap w:val="0"/>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pacing w:val="2"/>
                <w:sz w:val="24"/>
                <w:szCs w:val="24"/>
              </w:rPr>
              <w:t>▲</w:t>
            </w:r>
            <w:r>
              <w:rPr>
                <w:rFonts w:hint="eastAsia" w:ascii="宋体" w:hAnsi="宋体" w:eastAsia="宋体" w:cs="宋体"/>
                <w:kern w:val="0"/>
                <w:sz w:val="24"/>
                <w:szCs w:val="24"/>
                <w:lang w:bidi="ar"/>
              </w:rPr>
              <w:t>带切割装置潜水排污泵，扬程≥8米，球墨铸铁机身，铸铝机壳，可拆卸底盘，高强度合金钢刀叶轮，双刀片，铜芯电机，流量≥10m</w:t>
            </w:r>
            <w:r>
              <w:rPr>
                <w:rFonts w:hint="eastAsia" w:ascii="宋体" w:hAnsi="宋体" w:eastAsia="宋体" w:cs="宋体"/>
                <w:kern w:val="0"/>
                <w:sz w:val="24"/>
                <w:szCs w:val="24"/>
                <w:vertAlign w:val="superscript"/>
                <w:lang w:bidi="ar"/>
              </w:rPr>
              <w:t>3</w:t>
            </w:r>
            <w:r>
              <w:rPr>
                <w:rFonts w:hint="eastAsia" w:ascii="宋体" w:hAnsi="宋体" w:eastAsia="宋体" w:cs="宋体"/>
                <w:kern w:val="0"/>
                <w:sz w:val="24"/>
                <w:szCs w:val="24"/>
                <w:lang w:bidi="ar"/>
              </w:rPr>
              <w:t>/h，功率≥1.1kw，家用≥220V。供货到指定位置。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444"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DN50防爆防冻涤纶丝水带 （粪污输送管）</w:t>
            </w:r>
          </w:p>
        </w:tc>
        <w:tc>
          <w:tcPr>
            <w:tcW w:w="124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31600</w:t>
            </w:r>
          </w:p>
        </w:tc>
        <w:tc>
          <w:tcPr>
            <w:tcW w:w="87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米</w:t>
            </w:r>
          </w:p>
        </w:tc>
        <w:tc>
          <w:tcPr>
            <w:tcW w:w="5631" w:type="dxa"/>
            <w:noWrap w:val="0"/>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口径≥50mm，防爆防冻涤纶丝帆布水带，内村聚氨酯（PU）。供货到指定位置。</w:t>
            </w:r>
          </w:p>
        </w:tc>
      </w:tr>
    </w:tbl>
    <w:p>
      <w:pPr>
        <w:pStyle w:val="8"/>
        <w:spacing w:line="360" w:lineRule="auto"/>
        <w:jc w:val="both"/>
        <w:rPr>
          <w:rStyle w:val="9"/>
          <w:rFonts w:hint="eastAsia" w:ascii="宋体" w:hAnsi="宋体" w:eastAsia="宋体" w:cs="宋体"/>
          <w:sz w:val="24"/>
          <w:szCs w:val="24"/>
        </w:rPr>
      </w:pPr>
      <w:r>
        <w:rPr>
          <w:rStyle w:val="9"/>
          <w:rFonts w:hint="eastAsia" w:ascii="宋体" w:hAnsi="宋体" w:eastAsia="宋体" w:cs="宋体"/>
          <w:sz w:val="24"/>
          <w:szCs w:val="24"/>
        </w:rPr>
        <w:t>2.2风险源应急防护方面</w:t>
      </w:r>
    </w:p>
    <w:p>
      <w:pPr>
        <w:pStyle w:val="8"/>
        <w:spacing w:line="360" w:lineRule="auto"/>
        <w:jc w:val="both"/>
        <w:rPr>
          <w:rStyle w:val="9"/>
          <w:rFonts w:hint="eastAsia" w:ascii="宋体" w:hAnsi="宋体" w:eastAsia="宋体" w:cs="宋体"/>
          <w:sz w:val="24"/>
          <w:szCs w:val="24"/>
        </w:rPr>
      </w:pPr>
      <w:r>
        <w:rPr>
          <w:rStyle w:val="9"/>
          <w:rFonts w:hint="eastAsia" w:ascii="宋体" w:hAnsi="宋体" w:eastAsia="宋体" w:cs="宋体"/>
          <w:sz w:val="24"/>
          <w:szCs w:val="24"/>
        </w:rPr>
        <w:t>（1）应急预案修订技术参数</w:t>
      </w:r>
    </w:p>
    <w:tbl>
      <w:tblPr>
        <w:tblStyle w:val="5"/>
        <w:tblpPr w:leftFromText="180" w:rightFromText="180" w:vertAnchor="text" w:horzAnchor="page" w:tblpXSpec="center" w:tblpY="617"/>
        <w:tblOverlap w:val="never"/>
        <w:tblW w:w="53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3807"/>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16" w:type="pct"/>
            <w:noWrap w:val="0"/>
            <w:vAlign w:val="top"/>
          </w:tcPr>
          <w:p>
            <w:pPr>
              <w:widowControl/>
              <w:spacing w:line="360" w:lineRule="auto"/>
              <w:jc w:val="left"/>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序号</w:t>
            </w:r>
          </w:p>
        </w:tc>
        <w:tc>
          <w:tcPr>
            <w:tcW w:w="2103" w:type="pct"/>
            <w:noWrap w:val="0"/>
            <w:vAlign w:val="top"/>
          </w:tcPr>
          <w:p>
            <w:pPr>
              <w:widowControl/>
              <w:spacing w:line="360" w:lineRule="auto"/>
              <w:jc w:val="left"/>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材料/设备</w:t>
            </w:r>
          </w:p>
        </w:tc>
        <w:tc>
          <w:tcPr>
            <w:tcW w:w="2480" w:type="pct"/>
            <w:noWrap w:val="0"/>
            <w:vAlign w:val="top"/>
          </w:tcPr>
          <w:p>
            <w:pPr>
              <w:widowControl/>
              <w:spacing w:line="360" w:lineRule="auto"/>
              <w:jc w:val="left"/>
              <w:textAlignment w:val="center"/>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6" w:type="pct"/>
            <w:noWrap w:val="0"/>
            <w:vAlign w:val="top"/>
          </w:tcPr>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2103" w:type="pct"/>
            <w:noWrap/>
            <w:vAlign w:val="top"/>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西瑶镇把口村红旗水库集中式饮用水水源水源地突发环境事件应急预案修订（包括应急预案文本，风险评估报告和专题图）</w:t>
            </w:r>
          </w:p>
        </w:tc>
        <w:tc>
          <w:tcPr>
            <w:tcW w:w="2480" w:type="pct"/>
            <w:vMerge w:val="restart"/>
            <w:noWrap w:val="0"/>
            <w:vAlign w:val="top"/>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pacing w:val="2"/>
                <w:sz w:val="24"/>
                <w:szCs w:val="24"/>
              </w:rPr>
              <w:t>▲</w:t>
            </w:r>
            <w:r>
              <w:rPr>
                <w:rFonts w:hint="eastAsia" w:ascii="宋体" w:hAnsi="宋体" w:eastAsia="宋体" w:cs="宋体"/>
                <w:sz w:val="24"/>
                <w:szCs w:val="24"/>
              </w:rPr>
              <w:t>参考《集中式地表水饮用水水源地突发环境事件应急预案编制指南（试行）》（生态环境部办公厅2018年3月26日印发）进行修订和编制，内容包括应急预案文本，风险评估报告和专题图等。前期需开展现场踏勘，应急预案须通过专家评审，提供通过审查后的应急预案纸质文本一式6套，电子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416" w:type="pct"/>
            <w:noWrap w:val="0"/>
            <w:vAlign w:val="top"/>
          </w:tcPr>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2103" w:type="pct"/>
            <w:noWrap/>
            <w:vAlign w:val="top"/>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地下水水源地突发环境事件应急预案编制（包括应急预案文本，风险评估报告和专题图，一个水源地一个应急预案）</w:t>
            </w:r>
          </w:p>
        </w:tc>
        <w:tc>
          <w:tcPr>
            <w:tcW w:w="2480" w:type="pct"/>
            <w:vMerge w:val="continue"/>
            <w:noWrap w:val="0"/>
            <w:vAlign w:val="top"/>
          </w:tcPr>
          <w:p>
            <w:pPr>
              <w:widowControl/>
              <w:spacing w:line="360" w:lineRule="auto"/>
              <w:jc w:val="left"/>
              <w:textAlignment w:val="center"/>
              <w:rPr>
                <w:rFonts w:hint="eastAsia" w:ascii="宋体" w:hAnsi="宋体" w:eastAsia="宋体" w:cs="宋体"/>
                <w:kern w:val="0"/>
                <w:sz w:val="24"/>
                <w:szCs w:val="24"/>
                <w:lang w:bidi="ar"/>
              </w:rPr>
            </w:pPr>
          </w:p>
        </w:tc>
      </w:tr>
    </w:tbl>
    <w:p>
      <w:pPr>
        <w:pStyle w:val="8"/>
        <w:spacing w:line="360" w:lineRule="auto"/>
        <w:rPr>
          <w:rStyle w:val="9"/>
          <w:rFonts w:hint="eastAsia" w:ascii="宋体" w:hAnsi="宋体" w:eastAsia="宋体" w:cs="宋体"/>
          <w:sz w:val="24"/>
          <w:szCs w:val="24"/>
        </w:rPr>
      </w:pPr>
    </w:p>
    <w:p>
      <w:pPr>
        <w:pStyle w:val="8"/>
        <w:spacing w:line="360" w:lineRule="auto"/>
        <w:rPr>
          <w:rStyle w:val="9"/>
          <w:rFonts w:hint="eastAsia" w:ascii="宋体" w:hAnsi="宋体" w:eastAsia="宋体" w:cs="宋体"/>
          <w:sz w:val="24"/>
          <w:szCs w:val="24"/>
        </w:rPr>
      </w:pPr>
    </w:p>
    <w:p>
      <w:pPr>
        <w:pStyle w:val="8"/>
        <w:spacing w:line="360" w:lineRule="auto"/>
        <w:rPr>
          <w:rStyle w:val="9"/>
          <w:rFonts w:hint="eastAsia" w:ascii="宋体" w:hAnsi="宋体" w:eastAsia="宋体" w:cs="宋体"/>
          <w:sz w:val="24"/>
          <w:szCs w:val="24"/>
        </w:rPr>
      </w:pPr>
      <w:r>
        <w:rPr>
          <w:rStyle w:val="9"/>
          <w:rFonts w:hint="eastAsia" w:ascii="宋体" w:hAnsi="宋体" w:eastAsia="宋体" w:cs="宋体"/>
          <w:sz w:val="24"/>
          <w:szCs w:val="24"/>
        </w:rPr>
        <w:t>（2）应急物资储备及应急防护提升建设技术参数</w:t>
      </w:r>
    </w:p>
    <w:tbl>
      <w:tblPr>
        <w:tblStyle w:val="5"/>
        <w:tblW w:w="5363" w:type="pct"/>
        <w:jc w:val="center"/>
        <w:tblLayout w:type="fixed"/>
        <w:tblCellMar>
          <w:top w:w="0" w:type="dxa"/>
          <w:left w:w="108" w:type="dxa"/>
          <w:bottom w:w="0" w:type="dxa"/>
          <w:right w:w="108" w:type="dxa"/>
        </w:tblCellMar>
      </w:tblPr>
      <w:tblGrid>
        <w:gridCol w:w="1376"/>
        <w:gridCol w:w="1340"/>
        <w:gridCol w:w="5511"/>
        <w:gridCol w:w="914"/>
      </w:tblGrid>
      <w:tr>
        <w:tblPrEx>
          <w:tblCellMar>
            <w:top w:w="0" w:type="dxa"/>
            <w:left w:w="108" w:type="dxa"/>
            <w:bottom w:w="0" w:type="dxa"/>
            <w:right w:w="108" w:type="dxa"/>
          </w:tblCellMar>
        </w:tblPrEx>
        <w:trPr>
          <w:trHeight w:val="23" w:hRule="atLeast"/>
          <w:tblHeader/>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序号</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名称</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技术参数</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bidi="ar"/>
              </w:rPr>
              <w:t>备注</w:t>
            </w:r>
          </w:p>
        </w:tc>
      </w:tr>
      <w:tr>
        <w:tblPrEx>
          <w:tblCellMar>
            <w:top w:w="0" w:type="dxa"/>
            <w:left w:w="108" w:type="dxa"/>
            <w:bottom w:w="0" w:type="dxa"/>
            <w:right w:w="108" w:type="dxa"/>
          </w:tblCellMar>
        </w:tblPrEx>
        <w:trPr>
          <w:trHeight w:val="2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b/>
                <w:bCs/>
                <w:kern w:val="0"/>
                <w:sz w:val="24"/>
                <w:szCs w:val="24"/>
                <w:lang w:bidi="ar"/>
              </w:rPr>
              <w:t>一、污染物切断</w:t>
            </w: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PVC编织袋</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尺寸：≥80*50cm；重量：≥55g/㎡；材质： PE 或 PP。</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沙袋</w:t>
            </w:r>
          </w:p>
        </w:tc>
        <w:tc>
          <w:tcPr>
            <w:tcW w:w="3014" w:type="pct"/>
            <w:tcBorders>
              <w:top w:val="single" w:color="000000" w:sz="4" w:space="0"/>
              <w:left w:val="single" w:color="000000" w:sz="4" w:space="0"/>
              <w:bottom w:val="single" w:color="000000" w:sz="4" w:space="0"/>
              <w:right w:val="single" w:color="000000" w:sz="4" w:space="0"/>
            </w:tcBorders>
            <w:noWrap/>
            <w:vAlign w:val="top"/>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军绿色帆布材质(密度4*4)，抽绳式防汛专用沙袋；</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尺寸：≥30*70cm。</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铁铲（平头、尖头）</w:t>
            </w:r>
          </w:p>
        </w:tc>
        <w:tc>
          <w:tcPr>
            <w:tcW w:w="3014" w:type="pct"/>
            <w:tcBorders>
              <w:top w:val="single" w:color="000000" w:sz="4" w:space="0"/>
              <w:left w:val="single" w:color="000000" w:sz="4" w:space="0"/>
              <w:bottom w:val="single" w:color="000000" w:sz="4" w:space="0"/>
              <w:right w:val="single" w:color="000000" w:sz="4" w:space="0"/>
            </w:tcBorders>
            <w:noWrap/>
            <w:vAlign w:val="top"/>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铲面材质：50锰钢；尖（平）铲头；木柄长不小于1.2m，天然硬木。铲头采用 50 锰钢，宽≥150mm，厚度≥2mm。</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铁丝</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Q195镀锌铁丝，抗拉强度≥400MPa，横截面≥3.5mm。</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锄头</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z w:val="24"/>
                <w:szCs w:val="24"/>
              </w:rPr>
              <w:t>木柄锄头，锰钢+椿木，方锄，锄口开刃，总长≥1</w:t>
            </w:r>
            <w:r>
              <w:rPr>
                <w:rFonts w:hint="eastAsia" w:ascii="宋体" w:hAnsi="宋体" w:eastAsia="宋体" w:cs="宋体"/>
                <w:sz w:val="24"/>
                <w:szCs w:val="24"/>
              </w:rPr>
              <w:t>2</w:t>
            </w:r>
            <w:r>
              <w:rPr>
                <w:rFonts w:hint="eastAsia" w:ascii="宋体" w:hAnsi="宋体" w:eastAsia="宋体" w:cs="宋体"/>
                <w:sz w:val="24"/>
                <w:szCs w:val="24"/>
              </w:rPr>
              <w:t>0CM。</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镰刀</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z w:val="24"/>
                <w:szCs w:val="24"/>
              </w:rPr>
              <w:t>月牙镰刀，人体工学手柄，防滑防脱；刀刃锰钢淬火，双面开刃，刃厚≥2</w:t>
            </w:r>
            <w:r>
              <w:rPr>
                <w:rFonts w:hint="eastAsia" w:ascii="宋体" w:hAnsi="宋体" w:eastAsia="宋体" w:cs="宋体"/>
                <w:sz w:val="24"/>
                <w:szCs w:val="24"/>
              </w:rPr>
              <w:t>.5</w:t>
            </w:r>
            <w:r>
              <w:rPr>
                <w:rFonts w:hint="eastAsia" w:ascii="宋体" w:hAnsi="宋体" w:eastAsia="宋体" w:cs="宋体"/>
                <w:sz w:val="24"/>
                <w:szCs w:val="24"/>
              </w:rPr>
              <w:t>MM；全长≥</w:t>
            </w:r>
            <w:r>
              <w:rPr>
                <w:rFonts w:hint="eastAsia" w:ascii="宋体" w:hAnsi="宋体" w:eastAsia="宋体" w:cs="宋体"/>
                <w:sz w:val="24"/>
                <w:szCs w:val="24"/>
              </w:rPr>
              <w:t>47</w:t>
            </w:r>
            <w:r>
              <w:rPr>
                <w:rFonts w:hint="eastAsia" w:ascii="宋体" w:hAnsi="宋体" w:eastAsia="宋体" w:cs="宋体"/>
                <w:sz w:val="24"/>
                <w:szCs w:val="24"/>
              </w:rPr>
              <w:t>CM，刃长≥</w:t>
            </w:r>
            <w:r>
              <w:rPr>
                <w:rFonts w:hint="eastAsia" w:ascii="宋体" w:hAnsi="宋体" w:eastAsia="宋体" w:cs="宋体"/>
                <w:sz w:val="24"/>
                <w:szCs w:val="24"/>
              </w:rPr>
              <w:t>16</w:t>
            </w:r>
            <w:r>
              <w:rPr>
                <w:rFonts w:hint="eastAsia" w:ascii="宋体" w:hAnsi="宋体" w:eastAsia="宋体" w:cs="宋体"/>
                <w:sz w:val="24"/>
                <w:szCs w:val="24"/>
              </w:rPr>
              <w:t>CM，柄长≥</w:t>
            </w:r>
            <w:r>
              <w:rPr>
                <w:rFonts w:hint="eastAsia" w:ascii="宋体" w:hAnsi="宋体" w:eastAsia="宋体" w:cs="宋体"/>
                <w:sz w:val="24"/>
                <w:szCs w:val="24"/>
              </w:rPr>
              <w:t>30</w:t>
            </w:r>
            <w:r>
              <w:rPr>
                <w:rFonts w:hint="eastAsia" w:ascii="宋体" w:hAnsi="宋体" w:eastAsia="宋体" w:cs="宋体"/>
                <w:sz w:val="24"/>
                <w:szCs w:val="24"/>
              </w:rPr>
              <w:t>CM。</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w:t>
            </w:r>
          </w:p>
        </w:tc>
        <w:tc>
          <w:tcPr>
            <w:tcW w:w="733" w:type="pct"/>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剪刀</w:t>
            </w:r>
          </w:p>
        </w:tc>
        <w:tc>
          <w:tcPr>
            <w:tcW w:w="3014" w:type="pct"/>
            <w:tcBorders>
              <w:top w:val="single" w:color="000000" w:sz="4" w:space="0"/>
              <w:left w:val="single" w:color="000000" w:sz="4" w:space="0"/>
              <w:bottom w:val="single" w:color="auto"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8寸枝条剪，材质高碳钢，特氟龙防锈涂层，钢化镀铬弹簧，带安全锁扣，太空铝轻型手柄。</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c>
          <w:tcPr>
            <w:tcW w:w="733"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链条锁</w:t>
            </w:r>
          </w:p>
        </w:tc>
        <w:tc>
          <w:tcPr>
            <w:tcW w:w="3014"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≥0.3米链条(镀锌钢链，表面震光处理，满焊，≥5mm）+防盗镀锌叶片锁。</w:t>
            </w:r>
          </w:p>
        </w:tc>
        <w:tc>
          <w:tcPr>
            <w:tcW w:w="498" w:type="pct"/>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auto"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9</w:t>
            </w:r>
          </w:p>
        </w:tc>
        <w:tc>
          <w:tcPr>
            <w:tcW w:w="733" w:type="pct"/>
            <w:tcBorders>
              <w:top w:val="single" w:color="auto"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密眼渔网兜</w:t>
            </w:r>
          </w:p>
        </w:tc>
        <w:tc>
          <w:tcPr>
            <w:tcW w:w="3014" w:type="pct"/>
            <w:tcBorders>
              <w:top w:val="single" w:color="auto"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长度≥50米，深度4-10米；1260目。</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不锈钢抄网杆</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材质不锈钢，加厚加粗硬伸缩收缩杆≥2.5米杆+直径≥60mm不锈钢实心折叠网头，网眼≥2厘米。</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b/>
                <w:bCs/>
                <w:kern w:val="0"/>
                <w:sz w:val="24"/>
                <w:szCs w:val="24"/>
                <w:lang w:bidi="ar"/>
              </w:rPr>
              <w:t>二、污染物收集</w:t>
            </w: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加厚塑料</w:t>
            </w:r>
          </w:p>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手提桶</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≥24L，PP材质，新料≥</w:t>
            </w:r>
            <w:r>
              <w:rPr>
                <w:rFonts w:hint="eastAsia" w:ascii="宋体" w:hAnsi="宋体" w:eastAsia="宋体" w:cs="宋体"/>
                <w:kern w:val="0"/>
                <w:sz w:val="24"/>
                <w:szCs w:val="24"/>
                <w:lang w:bidi="ar"/>
              </w:rPr>
              <w:t>3</w:t>
            </w:r>
            <w:r>
              <w:rPr>
                <w:rFonts w:hint="eastAsia" w:ascii="宋体" w:hAnsi="宋体" w:eastAsia="宋体" w:cs="宋体"/>
                <w:kern w:val="0"/>
                <w:sz w:val="24"/>
                <w:szCs w:val="24"/>
                <w:lang w:bidi="ar"/>
              </w:rPr>
              <w:t>mm厚。</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660L应急</w:t>
            </w:r>
          </w:p>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收纳箱</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带盖带轮，HDPE材质，新料≥7mm厚，万向实心橡胶轮，手柄防滑设计，网状加强筋，灰色，桶身喷绘“应急收纳箱”。</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应急堆肥</w:t>
            </w:r>
          </w:p>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转运箱</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HDPE材质，新料加厚≥4mm，容量≥400L，黑灰色，网状加强筋，万向带实心轮带盖可密封防渗，底部带排污阀门，桶身喷绘“堆肥转运箱”；配套纳米呼吸膜发酵袋≥50只；</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纳米呼吸膜发酵袋：全新料蓝色≥70cm*130cm，≥22丝；材质：PE+PA七层发酵袋，纳米呼吸膜，无需排气阀直接用绳子扎口即可，耐撕裂，耐穿刺、拉伸轻度高；使用寿命≥2年。</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4</w:t>
            </w:r>
          </w:p>
        </w:tc>
        <w:tc>
          <w:tcPr>
            <w:tcW w:w="733" w:type="pct"/>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带切割装置</w:t>
            </w:r>
          </w:p>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潜水排污泵</w:t>
            </w:r>
          </w:p>
        </w:tc>
        <w:tc>
          <w:tcPr>
            <w:tcW w:w="3014"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带切割装置不锈钢304潜水排污泵，不锈钢机身机轴机壳及提手，可拆卸底盘，精铸半开式不锈钢切割叶轮；全铜芯电机，优质铜线，内置两套防腐机封及过载保护，双保险，防腐蚀防进水防漏电；低水位设计，水位可低至2cm；带浮球自动开关，可实现自动控制启停；扬程≥12米，流量≥300L/min，功率≤1.1kw，家用≥220V。供货到指定位置。</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5</w:t>
            </w:r>
          </w:p>
        </w:tc>
        <w:tc>
          <w:tcPr>
            <w:tcW w:w="733"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75应急PE管</w:t>
            </w:r>
          </w:p>
        </w:tc>
        <w:tc>
          <w:tcPr>
            <w:tcW w:w="3014"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kern w:val="0"/>
                <w:sz w:val="24"/>
                <w:szCs w:val="24"/>
                <w:lang w:bidi="ar"/>
              </w:rPr>
              <w:t>≥</w:t>
            </w:r>
            <w:r>
              <w:rPr>
                <w:rFonts w:hint="eastAsia" w:ascii="宋体" w:hAnsi="宋体" w:eastAsia="宋体" w:cs="宋体"/>
                <w:sz w:val="24"/>
                <w:szCs w:val="24"/>
              </w:rPr>
              <w:t>7</w:t>
            </w:r>
            <w:r>
              <w:rPr>
                <w:rFonts w:hint="eastAsia" w:ascii="宋体" w:hAnsi="宋体" w:eastAsia="宋体" w:cs="宋体"/>
                <w:kern w:val="0"/>
                <w:sz w:val="24"/>
                <w:szCs w:val="24"/>
                <w:lang w:bidi="ar"/>
              </w:rPr>
              <w:t>5*6.8mm，≥16公斤</w:t>
            </w:r>
            <w:r>
              <w:rPr>
                <w:rFonts w:hint="eastAsia" w:ascii="宋体" w:hAnsi="宋体" w:eastAsia="宋体" w:cs="宋体"/>
                <w:sz w:val="24"/>
                <w:szCs w:val="24"/>
              </w:rPr>
              <w:t>压力，材质聚乙烯，耐温-30-50</w:t>
            </w:r>
            <w:r>
              <w:rPr>
                <w:rFonts w:hint="eastAsia" w:ascii="宋体" w:hAnsi="宋体" w:eastAsia="宋体" w:cs="宋体"/>
                <w:spacing w:val="1"/>
                <w:sz w:val="24"/>
                <w:szCs w:val="24"/>
              </w:rPr>
              <w:t>℃。</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b/>
                <w:bCs/>
                <w:kern w:val="0"/>
                <w:sz w:val="24"/>
                <w:szCs w:val="24"/>
                <w:lang w:bidi="ar"/>
              </w:rPr>
              <w:t>三、污染物降解</w:t>
            </w: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氧化钙</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pacing w:val="-6"/>
                <w:sz w:val="24"/>
                <w:szCs w:val="24"/>
              </w:rPr>
              <w:t xml:space="preserve"> </w:t>
            </w:r>
            <w:r>
              <w:rPr>
                <w:rFonts w:hint="eastAsia" w:ascii="宋体" w:hAnsi="宋体" w:eastAsia="宋体" w:cs="宋体"/>
                <w:kern w:val="0"/>
                <w:sz w:val="24"/>
                <w:szCs w:val="24"/>
                <w:lang w:bidi="ar"/>
              </w:rPr>
              <w:t>≥25kg/袋，白色至灰色固体粉末，80%含量；</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次氯酸钠（固体）</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固体次氯酸钠；有效物质含量≥40(％)；每袋≥25kg。</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含氯泡腾片</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≥20瓶每箱，≥60片/瓶，溶于水产生具有杀微生物活性的次氯酸的消毒剂。</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非氧化性杀菌灭藻剂</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≥25/kg每桶。</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5</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管道式紫外消毒器</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过流式，功率≥1440w，处理水量100-120t/h，电压220v/50HZ，法兰、外丝均可，进出水口径最大可做到DN300，供货安装到指定位置。</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b/>
                <w:bCs/>
                <w:kern w:val="0"/>
                <w:sz w:val="24"/>
                <w:szCs w:val="24"/>
                <w:lang w:bidi="ar"/>
              </w:rPr>
              <w:t>四、污染物吸附</w:t>
            </w: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吸油毡</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pp-1，≥1m×2m×4mm，≥40平方/包；</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产品材料为100%聚丙烯；</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吸油量为本身10倍以上(20℃，1000秒燃料油)；</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吸水性：不大于本身质量6%(20℃)；持油性：油保持率达99%(常温)</w:t>
            </w:r>
            <w:r>
              <w:rPr>
                <w:rFonts w:hint="eastAsia" w:ascii="宋体" w:hAnsi="宋体" w:eastAsia="宋体" w:cs="宋体"/>
                <w:b/>
                <w:bCs/>
                <w:spacing w:val="9"/>
                <w:sz w:val="24"/>
                <w:szCs w:val="24"/>
              </w:rPr>
              <w:t>。</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泄露吸附固化剂</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矿物型环保固化剂，呈粉末状，无结块。惰性、不燃、强凝油固化材料，对水面及陆地上泄漏的油类、危化品有瞬间凝固作用；</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凝油固化能力：不小于自重的5倍，毒性，无毒无味，不致污染环境。持油率：常温状态下，12小时后，油、液体化学品保持率90%。</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溶解：在常见的油品、危化品和水中无溶解和形变现象；</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使用性：产品凝固污染物后,仍呈固体状态,便于清理收集。后处理简易环保，无残留；</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包装：≥4</w:t>
            </w:r>
            <w:r>
              <w:rPr>
                <w:rFonts w:hint="eastAsia" w:ascii="宋体" w:hAnsi="宋体" w:eastAsia="宋体" w:cs="宋体"/>
                <w:spacing w:val="-6"/>
                <w:sz w:val="24"/>
                <w:szCs w:val="24"/>
              </w:rPr>
              <w:t>KG/袋。</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textAlignment w:val="center"/>
              <w:rPr>
                <w:rFonts w:hint="eastAsia" w:ascii="宋体" w:hAnsi="宋体" w:eastAsia="宋体" w:cs="宋体"/>
                <w:sz w:val="24"/>
                <w:szCs w:val="24"/>
              </w:rPr>
            </w:pPr>
            <w:r>
              <w:rPr>
                <w:rFonts w:hint="eastAsia" w:ascii="宋体" w:hAnsi="宋体" w:eastAsia="宋体" w:cs="宋体"/>
                <w:b/>
                <w:bCs/>
                <w:kern w:val="0"/>
                <w:sz w:val="24"/>
                <w:szCs w:val="24"/>
                <w:lang w:bidi="ar"/>
              </w:rPr>
              <w:t>五、安全防护</w:t>
            </w: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分体式反光</w:t>
            </w:r>
          </w:p>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雨衣</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面料：≥300D 牛津 PU 涂层，分体式荧光黄；</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上衣两横两竖玻璃微珠反光条，裤子带反光条；印制“环境应急”字样。</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雨靴</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高筒雨鞋；</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筒高≥35cm；</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牛筋防滑耐磨底。</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水环境应急工作背包</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spacing w:val="2"/>
                <w:sz w:val="24"/>
                <w:szCs w:val="24"/>
              </w:rPr>
              <w:t>▲</w:t>
            </w:r>
            <w:r>
              <w:rPr>
                <w:rFonts w:hint="eastAsia" w:ascii="宋体" w:hAnsi="宋体" w:eastAsia="宋体" w:cs="宋体"/>
                <w:kern w:val="0"/>
                <w:sz w:val="24"/>
                <w:szCs w:val="24"/>
                <w:lang w:bidi="ar"/>
              </w:rPr>
              <w:t>采用600D表面防水PVC涂层涤纶面料，双肩背包。内含但不限于防护口罩≥10个、安全别针≥10个、高频救生哨≥1个、强光手电筒≥1把、安全锤≥1把、一次性雨衣≥1套、防滑手套≥1双、多功能军刀≥1把、指北针≥1个、应急救援绳(含搭扣)≥30米、压缩毛巾≥3条、折叠水桶≥1个。规格和颜色可根据要求制作；</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防护口罩：符合 KN95 等级，过滤非油性颗粒物；过滤率≥95%；</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强光手电：光源应采用固态免维护 LED 光源，并具有工作光、强光、频闪三种功能，可以通过开关 可进行自由转换， 强光放电时间不小于 8 小时， 内部电路应具有过流、过压、过充保护功能， 灯具外壳应采用高硬度合金材料，钢化玻璃透明件，采用防爆结构设计，可在易燃易爆场所 工作可手提、肩挎等携带方式。防爆性能应符合 GB3836.1-2010，GB3836.2-2010 国家标准，可在各种易燃易爆场所安全工作；额定电压： DC11.1V；重量≤1.0Kg；连续工作时间：强光≥8h 、工作光≥16h；平均照 度(lx)：强光≥460、弱光≥225；温度范围：涵盖-25℃~55℃；最高表面温度≤53℃；耐电压性能≥500V/60S；  开关 寿命≥50000 次。充电时间≤8h；防爆标志： Ex  dia Ⅱ CT6 Gb/ iaD tD A21 IP67 T80°C； 防护等级≥IP68；外形尺寸≤Φ 70mm×170mm；电池容量≥4000mAh。</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一次性医用手套</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一次性有粉灭菌橡胶乳胶医用手套，白色，光面≥50双每盒。</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安全帽</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ABS 安全帽，带荧光条设计，内衬带吸汗条；</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带手电筒卡槽。</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警戒线</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盘式警示带，底色白黄，红色字，涤纶布材质，宽度≥5cm，可反复使用，≥100米/盒；</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7</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锥形警戒桩</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规格≥30*30*65CM；重量≥0.5kg；橡胶材质。</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安全绳</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直径≥14MM，可承受≥560KG 拉力；</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材质为高强尼龙材料；防水耐磨；</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两头带合金钢材质挂钩，挂钩承重≥2000KG；</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9</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防割手套</w:t>
            </w:r>
          </w:p>
        </w:tc>
        <w:tc>
          <w:tcPr>
            <w:tcW w:w="5973"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材质不锈钢+尼龙带，防割等级≥5级，耐磨系数≥4级，抗撕拉系数≥4级，产品性能：防切割、耐磨损。</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10</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加长型防护胶手套</w:t>
            </w:r>
          </w:p>
        </w:tc>
        <w:tc>
          <w:tcPr>
            <w:tcW w:w="5973"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丁腈材质，耐酸碱、耐磨损、加长橡胶手套，长度不低于55cm。</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11</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防护胶手套</w:t>
            </w:r>
          </w:p>
        </w:tc>
        <w:tc>
          <w:tcPr>
            <w:tcW w:w="5973"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丁腈材质，防护油、洗涤剂、溶剂等，尤其是碳氢化合物具有良好的机械和防化防护性能，喷絮内里易于穿戴，表面做防滑处理，长度≥33cm。</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12</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线手套</w:t>
            </w:r>
          </w:p>
        </w:tc>
        <w:tc>
          <w:tcPr>
            <w:tcW w:w="5973"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材质尼龙线、棉纱、低弹丝，劳保线手套，含棉：≥30%，长度≥25cm。</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13</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医用急救箱（配高配药包）</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包含圆头剪刀、敷料镊子、消毒止血药品，急救毯、手电筒、安全锤等，配高配企业药包。</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14</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防水塑料布（宽度≥4米）</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经向强度≥2100N/5cm；</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纬向强度≥1600N/5cm；</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耐水压值≥2000mm水柱；</w:t>
            </w:r>
          </w:p>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宽度：≥4米。</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15</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应急工作服</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含衣服，裤子。</w:t>
            </w:r>
            <w:r>
              <w:rPr>
                <w:rFonts w:hint="eastAsia" w:ascii="宋体" w:hAnsi="宋体" w:eastAsia="宋体" w:cs="宋体"/>
                <w:sz w:val="24"/>
                <w:szCs w:val="24"/>
              </w:rPr>
              <w:t>衣服:</w:t>
            </w:r>
            <w:r>
              <w:rPr>
                <w:rFonts w:hint="eastAsia" w:ascii="宋体" w:hAnsi="宋体" w:eastAsia="宋体" w:cs="宋体"/>
                <w:kern w:val="0"/>
                <w:sz w:val="24"/>
                <w:szCs w:val="24"/>
                <w:lang w:bidi="ar"/>
              </w:rPr>
              <w:t>可脱卸抓绒三合一冲锋衣（含内胆）</w:t>
            </w:r>
            <w:r>
              <w:rPr>
                <w:rFonts w:hint="eastAsia" w:ascii="宋体" w:hAnsi="宋体" w:eastAsia="宋体" w:cs="宋体"/>
                <w:sz w:val="24"/>
                <w:szCs w:val="24"/>
              </w:rPr>
              <w:t>，材质棉纶，采用三防工艺（防泼水防油防污）具备防水防风耐寒防水透气功能，PU涂层，防水指数≥6000mm；抓绒内胆。裤子：棉纶/锦纶，采用三防工艺（防泼水防油防污）具备防水防风耐寒防水透气功能，PU涂层，防水指数≥6000mm；环境应急工装马甲按照业主要求设计供货。</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16</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伸缩救援杆</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柄头防打滑设计，不锈钢铝合金材质，超镜面抛光处理，可伸缩3-9米。</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17</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救生衣</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spacing w:val="5"/>
                <w:sz w:val="24"/>
                <w:szCs w:val="24"/>
              </w:rPr>
              <w:t>浮力</w:t>
            </w:r>
            <w:r>
              <w:rPr>
                <w:rFonts w:hint="eastAsia" w:ascii="宋体" w:hAnsi="宋体" w:eastAsia="宋体" w:cs="宋体"/>
                <w:kern w:val="0"/>
                <w:sz w:val="24"/>
                <w:szCs w:val="24"/>
                <w:lang w:bidi="ar"/>
              </w:rPr>
              <w:t>≥</w:t>
            </w:r>
            <w:r>
              <w:rPr>
                <w:rFonts w:hint="eastAsia" w:ascii="宋体" w:hAnsi="宋体" w:eastAsia="宋体" w:cs="宋体"/>
                <w:spacing w:val="5"/>
                <w:sz w:val="24"/>
                <w:szCs w:val="24"/>
              </w:rPr>
              <w:t>7.5</w:t>
            </w:r>
            <w:r>
              <w:rPr>
                <w:rFonts w:hint="eastAsia" w:ascii="宋体" w:hAnsi="宋体" w:eastAsia="宋体" w:cs="宋体"/>
                <w:sz w:val="24"/>
                <w:szCs w:val="24"/>
              </w:rPr>
              <w:t>kg</w:t>
            </w:r>
            <w:r>
              <w:rPr>
                <w:rFonts w:hint="eastAsia" w:ascii="宋体" w:hAnsi="宋体" w:eastAsia="宋体" w:cs="宋体"/>
                <w:spacing w:val="5"/>
                <w:sz w:val="24"/>
                <w:szCs w:val="24"/>
              </w:rPr>
              <w:t>；</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6"/>
                <w:sz w:val="24"/>
                <w:szCs w:val="24"/>
              </w:rPr>
              <w:t>面料：2</w:t>
            </w:r>
            <w:r>
              <w:rPr>
                <w:rFonts w:hint="eastAsia" w:ascii="宋体" w:hAnsi="宋体" w:eastAsia="宋体" w:cs="宋体"/>
                <w:spacing w:val="5"/>
                <w:sz w:val="24"/>
                <w:szCs w:val="24"/>
              </w:rPr>
              <w:t>40D涤纶牛津布；浮力材料：EPE；</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spacing w:val="5"/>
                <w:sz w:val="24"/>
                <w:szCs w:val="24"/>
              </w:rPr>
              <w:t>两肩附有反光标即使是夜间也易被人发现，两腰肋另加两块浮材，前胸三根带子。</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b/>
                <w:bCs/>
                <w:kern w:val="0"/>
                <w:sz w:val="24"/>
                <w:szCs w:val="24"/>
                <w:lang w:bidi="ar"/>
              </w:rPr>
              <w:t>六、应急照明</w:t>
            </w: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防爆手电筒</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防爆结构设计，可在易燃易爆场所安全稳定工作，适用应急救援中各类复杂环境；采用可充电锂电池供电，具有强弱 光可调及低电压警示功能；外壳采用优质合金材料，表面氧化处理，应具有优异的散热及抗冲击性能；可以手持式使用，也可以配在消防头盔上、抢险头盔、安全帽上使用，可以根据使用现场需要调节照射角度，出厂时应标配头盔连接附件；具有优良的恶劣环境适应能力，大雨环境下可以正常使用；</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额定电压：DC3.7V；开关寿命≥50000次，放电时间：强光≥300min弱光≥600min；低电压工作时间：强光≥15min弱光≥30min；平均照度：强光≥730lx，弱光≥340lx；防护等级≥IP66。</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感应式头灯</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感应式头灯，可通过挥手感应开关，感应距离15cm左右；四档位模式：强光、中光、弱光、SOS；可发送求救信号；续航能力：≥10小时,强光续航≥300分钟；灯珠类型：强光LED灯珠；充电方式：直充、USB充电；射程范围：≥70m；材质ABS，IP44防水；可调节拆卸头织带，45度多角度调节光源。</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4位50米卷线盘插座</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带过热保护器、过热指示灯，防触电设计，带先加设计，一体式三角支架，内外塑件采用ABS和PP塑料材质，带4位插孔；电线</w:t>
            </w:r>
            <w:r>
              <w:rPr>
                <w:rFonts w:hint="eastAsia" w:ascii="宋体" w:hAnsi="宋体" w:eastAsia="宋体" w:cs="宋体"/>
                <w:kern w:val="0"/>
                <w:sz w:val="24"/>
                <w:szCs w:val="24"/>
                <w:lang w:bidi="ar"/>
              </w:rPr>
              <w:t>≥</w:t>
            </w:r>
            <w:r>
              <w:rPr>
                <w:rFonts w:hint="eastAsia" w:ascii="宋体" w:hAnsi="宋体" w:eastAsia="宋体" w:cs="宋体"/>
                <w:spacing w:val="5"/>
                <w:sz w:val="24"/>
                <w:szCs w:val="24"/>
              </w:rPr>
              <w:t>3.0*1.0mm</w:t>
            </w:r>
            <w:r>
              <w:rPr>
                <w:rFonts w:hint="eastAsia" w:ascii="宋体" w:hAnsi="宋体" w:eastAsia="宋体" w:cs="宋体"/>
                <w:spacing w:val="5"/>
                <w:sz w:val="24"/>
                <w:szCs w:val="24"/>
                <w:vertAlign w:val="superscript"/>
              </w:rPr>
              <w:t>2</w:t>
            </w:r>
            <w:r>
              <w:rPr>
                <w:rFonts w:hint="eastAsia" w:ascii="宋体" w:hAnsi="宋体" w:eastAsia="宋体" w:cs="宋体"/>
                <w:spacing w:val="5"/>
                <w:sz w:val="24"/>
                <w:szCs w:val="24"/>
              </w:rPr>
              <w:t>加粗铜导线，橡胶外皮，长度≥50米；额定电压220V，额定电流10-16A。</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b/>
                <w:bCs/>
                <w:kern w:val="0"/>
                <w:sz w:val="24"/>
                <w:szCs w:val="24"/>
                <w:lang w:bidi="ar"/>
              </w:rPr>
              <w:t>七、应急通讯与指挥</w:t>
            </w: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防爆对讲器</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UHF1：400-470MHz，信道容量≥1024；区域容量≥64（每个区域最大32群组）；电池容量≥2600mAh（标配）/2000mAh（选配薄电）；整机重量≤300g（标配电池与天线）；整机尺寸≥100*54.5*36.5mm（不含天线）；工作温度范围：-30℃~+60℃；存储温度范围：-40℃~+85℃；</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支持AMBE++声码器、倒地报警、震动提示，可选支持北斗/GPS定位，可选支持软加密或TF卡硬加密；</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可选内置蓝牙4.0芯片，支持蓝牙音频/PTT/定位设备；</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75吋半透彩屏，240*180分辨率，4行文本显示；</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卫星定位方式：可选支持GPS/北斗/GPS+北斗，三种模式可在终端本地菜单中切换；</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支持PDT与DMR数字常规和集群，兼容模拟和MPT集群，满足平滑过网要求，直通/中转双时隙，支持扩展虚拟集群，自动跨站漫游，呼叫随行；</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具有震动提示、VOX等功能，配备大容量电池，结合数字技术的节电设计，终端高功率下使用时间超过26小时（5:5:90模式）；</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远程写频：可以通过 IP 网络，支持通过服务器端远程操作，针对连接PC客户端的对讲 机进行写频录音：可选支持通话录音功能；加密：可选支持 AES256/128 软加密，确保通讯安全；</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配至少3个8联排充配件，可以批量进行充电管理。</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设备通过国家有关机构无线电发射设备型号核准并获得型号核准证，提供有效期内的型号核准证复印件；</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为确保后期产品的平滑升级，设备相关软件为设备制造商的正版软件，提供投标产品生产厂家软件著作权证书复印件；</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提供国家认可检测机构出具的检测报告复印件。</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手持喊话器</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参数：≥300 秒录音，功率≥35w，声音传播距离≥800 米；</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配置充电锂电池和麦克风；待机时长≥24 小时，工作时长≥5 小时。</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智能警戒监控装备</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网络高清智能摄像机，视频分辨率和帧率≥2560x1440、25帧/秒，最低照度≤0.005 lx，支持≥120 dB宽动态，视频压缩标准需支持H.265和H.264；</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采用高效阵列红外灯，使用寿命长，全功耗模式下红外照射距离最远可达30 m，低功耗模式下最远可达10 m；</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支持太阳能供电：支持40 W（±2 W）太阳能光伏板，内置20.8 Ah可充电电池；</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超低功耗：最高分辨率下录像功耗低于1.85 W（含4G传输），最长支持24天电池续航（休眠模式）；</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支持LTE-TDD/LTE-FDD/TD-SCDMA/EVDO 4G无线网络传输；</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spacing w:val="5"/>
                <w:sz w:val="24"/>
                <w:szCs w:val="24"/>
              </w:rPr>
              <w:t>≥1个内置麦克风，1个内置扬声器，工作温湿度: -20℃~50 ℃，湿度小于95%（无凝结），防护等级不低于IP67；</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spacing w:val="5"/>
                <w:sz w:val="24"/>
                <w:szCs w:val="24"/>
              </w:rPr>
              <w:t>支架为长壁装/铂晶灰/铝合金/。</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spacing w:val="5"/>
                <w:sz w:val="24"/>
                <w:szCs w:val="24"/>
              </w:rPr>
              <w:t>立杆为定制杆，高度≥3.5米，厚度≥0.8mm，镀锌钢，静电喷塑，乳白色，含地笼、避雷针Ф10，≥1米支臂。</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spacing w:val="5"/>
                <w:sz w:val="24"/>
                <w:szCs w:val="24"/>
              </w:rPr>
              <w:t>监控设备箱，镀锌板，静电喷塑，尺寸≥400mm×300mm×200mm，±5mm；其中与监控立杆配套的设备箱应符合使用要求。</w:t>
            </w:r>
          </w:p>
          <w:p>
            <w:pPr>
              <w:widowControl/>
              <w:numPr>
                <w:ilvl w:val="0"/>
                <w:numId w:val="1"/>
              </w:numPr>
              <w:spacing w:line="360" w:lineRule="auto"/>
              <w:textAlignment w:val="center"/>
              <w:rPr>
                <w:rFonts w:hint="eastAsia" w:ascii="宋体" w:hAnsi="宋体" w:eastAsia="宋体" w:cs="宋体"/>
                <w:sz w:val="24"/>
                <w:szCs w:val="24"/>
              </w:rPr>
            </w:pPr>
            <w:r>
              <w:rPr>
                <w:rFonts w:hint="eastAsia" w:ascii="宋体" w:hAnsi="宋体" w:eastAsia="宋体" w:cs="宋体"/>
                <w:sz w:val="24"/>
                <w:szCs w:val="24"/>
              </w:rPr>
              <w:t>电源线RVV2*1.5,就近取电，现场就近无电源时采用太阳能电池板供电。数据传输通过有线或无线（4G卡等）方式向中心监控系统平台发送数据。优先采用有线传输方式。线材,网线,CAT5,SFTP, 4P*24AWG,1/0.5,黑色。包含安装、调试、培训等，满足正常使用要求。安装须严格落实防雷等措施。</w:t>
            </w:r>
            <w:r>
              <w:rPr>
                <w:rFonts w:hint="eastAsia" w:ascii="宋体" w:hAnsi="宋体" w:eastAsia="宋体" w:cs="宋体"/>
                <w:spacing w:val="5"/>
                <w:sz w:val="24"/>
                <w:szCs w:val="24"/>
              </w:rPr>
              <w:t>。</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b/>
                <w:bCs/>
                <w:kern w:val="0"/>
                <w:sz w:val="24"/>
                <w:szCs w:val="24"/>
                <w:lang w:bidi="ar"/>
              </w:rPr>
              <w:t>八、应急物资仓储</w:t>
            </w: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物资存储架</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尺寸</w:t>
            </w:r>
            <w:r>
              <w:rPr>
                <w:rFonts w:hint="eastAsia" w:ascii="宋体" w:hAnsi="宋体" w:eastAsia="宋体" w:cs="宋体"/>
                <w:kern w:val="0"/>
                <w:sz w:val="24"/>
                <w:szCs w:val="24"/>
                <w:lang w:bidi="ar"/>
              </w:rPr>
              <w:t>≥</w:t>
            </w:r>
            <w:r>
              <w:rPr>
                <w:rFonts w:hint="eastAsia" w:ascii="宋体" w:hAnsi="宋体" w:eastAsia="宋体" w:cs="宋体"/>
                <w:spacing w:val="5"/>
                <w:sz w:val="24"/>
                <w:szCs w:val="24"/>
              </w:rPr>
              <w:t>长2m*宽0.6m*高2m，</w:t>
            </w:r>
            <w:r>
              <w:rPr>
                <w:rFonts w:hint="eastAsia" w:ascii="宋体" w:hAnsi="宋体" w:eastAsia="宋体" w:cs="宋体"/>
                <w:kern w:val="0"/>
                <w:sz w:val="24"/>
                <w:szCs w:val="24"/>
                <w:lang w:bidi="ar"/>
              </w:rPr>
              <w:t>≥</w:t>
            </w:r>
            <w:r>
              <w:rPr>
                <w:rFonts w:hint="eastAsia" w:ascii="宋体" w:hAnsi="宋体" w:eastAsia="宋体" w:cs="宋体"/>
                <w:spacing w:val="5"/>
                <w:sz w:val="24"/>
                <w:szCs w:val="24"/>
              </w:rPr>
              <w:t>3层，每层承重≥500公斤。</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手推车</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全静音轮胎；</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车板外形</w:t>
            </w:r>
            <w:r>
              <w:rPr>
                <w:rFonts w:hint="eastAsia" w:ascii="宋体" w:hAnsi="宋体" w:eastAsia="宋体" w:cs="宋体"/>
                <w:kern w:val="0"/>
                <w:sz w:val="24"/>
                <w:szCs w:val="24"/>
                <w:lang w:bidi="ar"/>
              </w:rPr>
              <w:t>≥</w:t>
            </w:r>
            <w:r>
              <w:rPr>
                <w:rFonts w:hint="eastAsia" w:ascii="宋体" w:hAnsi="宋体" w:eastAsia="宋体" w:cs="宋体"/>
                <w:spacing w:val="5"/>
                <w:sz w:val="24"/>
                <w:szCs w:val="24"/>
              </w:rPr>
              <w:t>910(L)×61(W)mm；</w:t>
            </w:r>
          </w:p>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最大载重：≥700kg。</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应急物资储备库标识标牌</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含应急物资分类标识牌，应急物资储备库标牌，储备库应急物资清单宣传牌、安全标识牌等1套。</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23" w:hRule="atLeast"/>
          <w:jc w:val="center"/>
        </w:trPr>
        <w:tc>
          <w:tcPr>
            <w:tcW w:w="75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4</w:t>
            </w:r>
          </w:p>
        </w:tc>
        <w:tc>
          <w:tcPr>
            <w:tcW w:w="73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灭火器</w:t>
            </w:r>
          </w:p>
        </w:tc>
        <w:tc>
          <w:tcPr>
            <w:tcW w:w="3014" w:type="pct"/>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spacing w:line="360" w:lineRule="auto"/>
              <w:textAlignment w:val="center"/>
              <w:rPr>
                <w:rFonts w:hint="eastAsia" w:ascii="宋体" w:hAnsi="宋体" w:eastAsia="宋体" w:cs="宋体"/>
                <w:spacing w:val="5"/>
                <w:sz w:val="24"/>
                <w:szCs w:val="24"/>
              </w:rPr>
            </w:pPr>
            <w:r>
              <w:rPr>
                <w:rFonts w:hint="eastAsia" w:ascii="宋体" w:hAnsi="宋体" w:eastAsia="宋体" w:cs="宋体"/>
                <w:kern w:val="0"/>
                <w:sz w:val="24"/>
                <w:szCs w:val="24"/>
                <w:lang w:bidi="ar"/>
              </w:rPr>
              <w:t>≥</w:t>
            </w:r>
            <w:r>
              <w:rPr>
                <w:rFonts w:hint="eastAsia" w:ascii="宋体" w:hAnsi="宋体" w:eastAsia="宋体" w:cs="宋体"/>
                <w:spacing w:val="5"/>
                <w:sz w:val="24"/>
                <w:szCs w:val="24"/>
              </w:rPr>
              <w:t>4KG干粉灭火器。</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rPr>
            </w:pPr>
          </w:p>
        </w:tc>
      </w:tr>
    </w:tbl>
    <w:p>
      <w:pPr>
        <w:pStyle w:val="4"/>
        <w:spacing w:before="120" w:after="0" w:line="360" w:lineRule="auto"/>
        <w:jc w:val="left"/>
        <w:rPr>
          <w:rFonts w:hint="eastAsia" w:ascii="宋体" w:hAnsi="宋体" w:eastAsia="宋体" w:cs="宋体"/>
          <w:sz w:val="24"/>
          <w:szCs w:val="24"/>
        </w:rPr>
      </w:pPr>
      <w:r>
        <w:rPr>
          <w:rFonts w:hint="eastAsia" w:ascii="宋体" w:hAnsi="宋体" w:eastAsia="宋体" w:cs="宋体"/>
          <w:sz w:val="24"/>
          <w:szCs w:val="24"/>
        </w:rPr>
        <w:t>2.3水环境监管能力建设方面</w:t>
      </w:r>
    </w:p>
    <w:tbl>
      <w:tblPr>
        <w:tblStyle w:val="5"/>
        <w:tblW w:w="5356" w:type="pct"/>
        <w:jc w:val="center"/>
        <w:tblLayout w:type="autofit"/>
        <w:tblCellMar>
          <w:top w:w="0" w:type="dxa"/>
          <w:left w:w="108" w:type="dxa"/>
          <w:bottom w:w="0" w:type="dxa"/>
          <w:right w:w="108" w:type="dxa"/>
        </w:tblCellMar>
      </w:tblPr>
      <w:tblGrid>
        <w:gridCol w:w="651"/>
        <w:gridCol w:w="742"/>
        <w:gridCol w:w="654"/>
        <w:gridCol w:w="835"/>
        <w:gridCol w:w="6247"/>
      </w:tblGrid>
      <w:tr>
        <w:tblPrEx>
          <w:tblCellMar>
            <w:top w:w="0" w:type="dxa"/>
            <w:left w:w="108" w:type="dxa"/>
            <w:bottom w:w="0" w:type="dxa"/>
            <w:right w:w="108" w:type="dxa"/>
          </w:tblCellMar>
        </w:tblPrEx>
        <w:trPr>
          <w:trHeight w:val="276" w:hRule="atLeast"/>
          <w:tblHeader/>
          <w:jc w:val="center"/>
        </w:trPr>
        <w:tc>
          <w:tcPr>
            <w:tcW w:w="357"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406"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平台</w:t>
            </w:r>
          </w:p>
        </w:tc>
        <w:tc>
          <w:tcPr>
            <w:tcW w:w="358"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类别</w:t>
            </w:r>
          </w:p>
        </w:tc>
        <w:tc>
          <w:tcPr>
            <w:tcW w:w="457"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w:t>
            </w:r>
          </w:p>
        </w:tc>
        <w:tc>
          <w:tcPr>
            <w:tcW w:w="3420"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技术参数</w:t>
            </w:r>
          </w:p>
        </w:tc>
      </w:tr>
      <w:tr>
        <w:tblPrEx>
          <w:tblCellMar>
            <w:top w:w="0" w:type="dxa"/>
            <w:left w:w="108" w:type="dxa"/>
            <w:bottom w:w="0" w:type="dxa"/>
            <w:right w:w="108" w:type="dxa"/>
          </w:tblCellMar>
        </w:tblPrEx>
        <w:trPr>
          <w:jc w:val="center"/>
        </w:trPr>
        <w:tc>
          <w:tcPr>
            <w:tcW w:w="357"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06" w:type="pct"/>
            <w:vMerge w:val="restart"/>
            <w:tcBorders>
              <w:top w:val="nil"/>
              <w:left w:val="single" w:color="auto" w:sz="4" w:space="0"/>
              <w:bottom w:val="single" w:color="000000"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视频监控网络搭建</w:t>
            </w:r>
          </w:p>
        </w:tc>
        <w:tc>
          <w:tcPr>
            <w:tcW w:w="358" w:type="pct"/>
            <w:vMerge w:val="restart"/>
            <w:tcBorders>
              <w:top w:val="nil"/>
              <w:left w:val="single" w:color="auto" w:sz="4" w:space="0"/>
              <w:bottom w:val="single" w:color="000000"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视频监控网</w:t>
            </w:r>
          </w:p>
        </w:tc>
        <w:tc>
          <w:tcPr>
            <w:tcW w:w="457"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网络高清智能球机</w:t>
            </w:r>
          </w:p>
        </w:tc>
        <w:tc>
          <w:tcPr>
            <w:tcW w:w="3420" w:type="pct"/>
            <w:tcBorders>
              <w:top w:val="nil"/>
              <w:left w:val="nil"/>
              <w:bottom w:val="single" w:color="auto" w:sz="4" w:space="0"/>
              <w:right w:val="single" w:color="auto" w:sz="4" w:space="0"/>
            </w:tcBorders>
            <w:noWrap w:val="0"/>
            <w:vAlign w:val="center"/>
          </w:tcPr>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全景枪球一体化摄像机，全景画面最大分辨率和帧率≥2560×1440@25fps，细节画面最大分辨率和帧率≥1920×1080@25fps，支持H.265.H.264编码，支持GB35114安全加密；</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支持输出两路视频图像（1路全景视频图像.1路细节视频图像），内置≥2颗GPU芯片，全景视频图像内置镜头≥2颗补光灯，靶面尺寸≥1/1.9英寸；细节相机内置镜头≥4颗补光灯</w:t>
            </w:r>
            <w:r>
              <w:rPr>
                <w:rFonts w:hint="eastAsia" w:ascii="宋体" w:hAnsi="宋体" w:eastAsia="宋体" w:cs="宋体"/>
                <w:b/>
                <w:bCs/>
                <w:sz w:val="24"/>
                <w:szCs w:val="24"/>
              </w:rPr>
              <w:t>（需提供国家认可的第三方检验机构出具的检测报告复印件并加盖投标人鲜章证明）</w:t>
            </w:r>
            <w:r>
              <w:rPr>
                <w:rFonts w:hint="eastAsia" w:ascii="宋体" w:hAnsi="宋体" w:eastAsia="宋体" w:cs="宋体"/>
                <w:spacing w:val="5"/>
                <w:sz w:val="24"/>
                <w:szCs w:val="24"/>
              </w:rPr>
              <w:t>;</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细节相机支持≥22倍光学变倍，最大焦距≥110mm，低照度彩色≤0.005lx，黑白≤0.001lx，细节相机需支持水平及垂直电动旋转，支持水平360°连续旋转，垂直旋转范围≥90°，支持自动翻转；</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需支持深度学习算法，支持人车分类侦测、报警、联动跟踪；支持区域入侵侦测、越界侦测、进入区域侦测和离开区域侦等智能侦测并联动跟踪；</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支持对镜头前盖玻璃加热，去除玻璃上的冰状和水状附着物；</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支持智能分析抗干扰功能，当篮球、小狗、树叶等非人或车辆目标经过检测区域时，不会触发报警；</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支持快捷配置功能，可在预览画面开启/关闭“快捷配置”页面，对曝光参数、OSD、智能资源分配模式等参数进行配置，并可一键恢复为默认设置；</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支持循环跟踪功能，当全景视频图像中有多个目标触发报警事件后，细节视频图像可联动对多个目标循环跟踪</w:t>
            </w:r>
            <w:r>
              <w:rPr>
                <w:rFonts w:hint="eastAsia" w:ascii="宋体" w:hAnsi="宋体" w:eastAsia="宋体" w:cs="宋体"/>
                <w:b/>
                <w:bCs/>
                <w:sz w:val="24"/>
                <w:szCs w:val="24"/>
              </w:rPr>
              <w:t>（需提供国家认可的第三方检验机构出具的检测报告复印件并加盖投标人鲜章证明）</w:t>
            </w:r>
            <w:r>
              <w:rPr>
                <w:rFonts w:hint="eastAsia" w:ascii="宋体" w:hAnsi="宋体" w:eastAsia="宋体" w:cs="宋体"/>
                <w:spacing w:val="5"/>
                <w:sz w:val="24"/>
                <w:szCs w:val="24"/>
              </w:rPr>
              <w:t>;</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需具有≥1对音频输入/输出接口.≥2路报警输入.≥1路报警输出，内置红外+可见光补光灯，红外补光距离≥150m，白光补光距离≥30m，工作温度≥-30℃-65℃，防护等级≥IP66。</w:t>
            </w:r>
          </w:p>
          <w:p>
            <w:pPr>
              <w:widowControl/>
              <w:numPr>
                <w:ilvl w:val="0"/>
                <w:numId w:val="1"/>
              </w:numPr>
              <w:spacing w:line="360" w:lineRule="auto"/>
              <w:ind w:left="0" w:firstLine="0"/>
              <w:textAlignment w:val="center"/>
              <w:rPr>
                <w:rFonts w:hint="eastAsia" w:ascii="宋体" w:hAnsi="宋体" w:eastAsia="宋体" w:cs="宋体"/>
                <w:sz w:val="24"/>
                <w:szCs w:val="24"/>
              </w:rPr>
            </w:pPr>
            <w:r>
              <w:rPr>
                <w:rFonts w:hint="eastAsia" w:ascii="宋体" w:hAnsi="宋体" w:eastAsia="宋体" w:cs="宋体"/>
                <w:spacing w:val="5"/>
                <w:sz w:val="24"/>
                <w:szCs w:val="24"/>
              </w:rPr>
              <w:t xml:space="preserve">   电源线RVV2*1.5,就近取电。数据传输通过有线方式向中心监控系统平台发送数据。线材,网线,CAT5,SFTP, 4P*24AWG,1/0.5,黑色。包含安装、调试、培训等，满足正常使用要求。</w:t>
            </w:r>
          </w:p>
        </w:tc>
      </w:tr>
      <w:tr>
        <w:tblPrEx>
          <w:tblCellMar>
            <w:top w:w="0" w:type="dxa"/>
            <w:left w:w="108" w:type="dxa"/>
            <w:bottom w:w="0" w:type="dxa"/>
            <w:right w:w="108" w:type="dxa"/>
          </w:tblCellMar>
        </w:tblPrEx>
        <w:trPr>
          <w:jc w:val="center"/>
        </w:trPr>
        <w:tc>
          <w:tcPr>
            <w:tcW w:w="357"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06"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358"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457"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行业通用型NVR</w:t>
            </w:r>
          </w:p>
        </w:tc>
        <w:tc>
          <w:tcPr>
            <w:tcW w:w="3420" w:type="pct"/>
            <w:tcBorders>
              <w:top w:val="nil"/>
              <w:left w:val="nil"/>
              <w:bottom w:val="single" w:color="auto" w:sz="4" w:space="0"/>
              <w:right w:val="single" w:color="auto" w:sz="4" w:space="0"/>
            </w:tcBorders>
            <w:noWrap w:val="0"/>
            <w:vAlign w:val="center"/>
          </w:tcPr>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智能分析录像主机，19英寸标准机箱，≥4个3.5寸盘位，内置≥2块4T硬盘；</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支持≥16路H.264、H.265视频流混合接入，输入带宽≥160M，输出带宽≥240Mbps，支持4K高清网络视频的接入、存储、预览和回放，支持≥16路1080P视频同时解码输出；</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支持≥4路抓拍机的人脸比对，支持≥16个人脸名单库，总库容≥10000张，支持人脸签到、人脸考勤、人脸1V1比对、以脸搜脸、按属性检索等功能；</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支持接入16TB、18TB、20TB等大容量硬盘，支持接入AI硬盘、加密硬盘，支持SATA硬盘和SSD硬盘混合接入；</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支持人脸库图片以图搜图，支持人脸库自动建模，单GPU人脸库建模速度不低于64张/秒；</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接入带有温度报警、烟雾报警、障碍物遮挡报警、移动报警、防拆报警、紧急报警等功能的摄像机，支持联动录像、抓拍图片、弹出画面、声音警告、上传中心、发送邮件、触发报警输出，支持按通道、时间、类型检索报警图片，支持图片和列表两种形式展现录像搜索结果</w:t>
            </w:r>
            <w:r>
              <w:rPr>
                <w:rFonts w:hint="eastAsia" w:ascii="宋体" w:hAnsi="宋体" w:eastAsia="宋体" w:cs="宋体"/>
                <w:b/>
                <w:bCs/>
                <w:sz w:val="24"/>
                <w:szCs w:val="24"/>
              </w:rPr>
              <w:t>（需提供国家认可的第三方检验机构出具的检测报告复印件并加盖投标人鲜章证明）</w:t>
            </w:r>
            <w:r>
              <w:rPr>
                <w:rFonts w:hint="eastAsia" w:ascii="宋体" w:hAnsi="宋体" w:eastAsia="宋体" w:cs="宋体"/>
                <w:spacing w:val="5"/>
                <w:sz w:val="24"/>
                <w:szCs w:val="24"/>
              </w:rPr>
              <w:t>；</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支持在预览界面随意选择一个或多个通道，在预警面板实时展示此通道的目标抓拍信息，包括：事件名称、事件触发时间、人脸抓图等，人脸比对支持同时显示姓名、相似度，车辆报警支持同时显示车牌，人体和车辆目标，支持分别显示“人体”、“车辆”</w:t>
            </w:r>
            <w:r>
              <w:rPr>
                <w:rFonts w:hint="eastAsia" w:ascii="宋体" w:hAnsi="宋体" w:eastAsia="宋体" w:cs="宋体"/>
                <w:b/>
                <w:bCs/>
                <w:sz w:val="24"/>
                <w:szCs w:val="24"/>
              </w:rPr>
              <w:t>（需提供国家认可的第三方检验机构出具的检测报告复印件并加盖投标人鲜章证明）</w:t>
            </w:r>
            <w:r>
              <w:rPr>
                <w:rFonts w:hint="eastAsia" w:ascii="宋体" w:hAnsi="宋体" w:eastAsia="宋体" w:cs="宋体"/>
                <w:spacing w:val="5"/>
                <w:sz w:val="24"/>
                <w:szCs w:val="24"/>
              </w:rPr>
              <w:t>；</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不少于1个HDMI和1个VGA输出接口，≥2个千兆网口、≥3个USB接口（其中USB3.0接口≥1个）、≥1个eSATA接口，≥16路报警输入、≥4路报警输出接口。</w:t>
            </w:r>
          </w:p>
        </w:tc>
      </w:tr>
      <w:tr>
        <w:tblPrEx>
          <w:tblCellMar>
            <w:top w:w="0" w:type="dxa"/>
            <w:left w:w="108" w:type="dxa"/>
            <w:bottom w:w="0" w:type="dxa"/>
            <w:right w:w="108" w:type="dxa"/>
          </w:tblCellMar>
        </w:tblPrEx>
        <w:trPr>
          <w:trHeight w:val="276" w:hRule="atLeast"/>
          <w:jc w:val="center"/>
        </w:trPr>
        <w:tc>
          <w:tcPr>
            <w:tcW w:w="357"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06"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358"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457"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支架</w:t>
            </w:r>
          </w:p>
        </w:tc>
        <w:tc>
          <w:tcPr>
            <w:tcW w:w="3420" w:type="pct"/>
            <w:tcBorders>
              <w:top w:val="nil"/>
              <w:left w:val="nil"/>
              <w:bottom w:val="single" w:color="auto" w:sz="4" w:space="0"/>
              <w:right w:val="single" w:color="auto" w:sz="4" w:space="0"/>
            </w:tcBorders>
            <w:noWrap w:val="0"/>
            <w:vAlign w:val="center"/>
          </w:tcPr>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壁装支架/白色/铝合金。</w:t>
            </w:r>
          </w:p>
        </w:tc>
      </w:tr>
      <w:tr>
        <w:tblPrEx>
          <w:tblCellMar>
            <w:top w:w="0" w:type="dxa"/>
            <w:left w:w="108" w:type="dxa"/>
            <w:bottom w:w="0" w:type="dxa"/>
            <w:right w:w="108" w:type="dxa"/>
          </w:tblCellMar>
        </w:tblPrEx>
        <w:trPr>
          <w:trHeight w:val="276" w:hRule="atLeast"/>
          <w:jc w:val="center"/>
        </w:trPr>
        <w:tc>
          <w:tcPr>
            <w:tcW w:w="357"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06"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358"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457"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立杆</w:t>
            </w:r>
          </w:p>
        </w:tc>
        <w:tc>
          <w:tcPr>
            <w:tcW w:w="3420" w:type="pct"/>
            <w:tcBorders>
              <w:top w:val="nil"/>
              <w:left w:val="nil"/>
              <w:bottom w:val="single" w:color="auto" w:sz="4" w:space="0"/>
              <w:right w:val="single" w:color="auto" w:sz="4" w:space="0"/>
            </w:tcBorders>
            <w:noWrap w:val="0"/>
            <w:vAlign w:val="center"/>
          </w:tcPr>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定制杆；</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高度≥3.5米，厚度≥0.8mm，镀锌钢，静电喷塑，乳白色；</w:t>
            </w:r>
          </w:p>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含地笼、避雷针Ф10，≥1米支臂，支臂应与球机或枪机支架配套安装，为满足现场使用要求可定制单支臂或双支臂。</w:t>
            </w:r>
          </w:p>
        </w:tc>
      </w:tr>
      <w:tr>
        <w:tblPrEx>
          <w:tblCellMar>
            <w:top w:w="0" w:type="dxa"/>
            <w:left w:w="108" w:type="dxa"/>
            <w:bottom w:w="0" w:type="dxa"/>
            <w:right w:w="108" w:type="dxa"/>
          </w:tblCellMar>
        </w:tblPrEx>
        <w:trPr>
          <w:trHeight w:val="276" w:hRule="atLeast"/>
          <w:jc w:val="center"/>
        </w:trPr>
        <w:tc>
          <w:tcPr>
            <w:tcW w:w="357"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06"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358"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457"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设备箱</w:t>
            </w:r>
          </w:p>
        </w:tc>
        <w:tc>
          <w:tcPr>
            <w:tcW w:w="3420" w:type="pct"/>
            <w:tcBorders>
              <w:top w:val="nil"/>
              <w:left w:val="nil"/>
              <w:bottom w:val="single" w:color="auto" w:sz="4" w:space="0"/>
              <w:right w:val="single" w:color="auto" w:sz="4" w:space="0"/>
            </w:tcBorders>
            <w:noWrap w:val="0"/>
            <w:vAlign w:val="center"/>
          </w:tcPr>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监控设备箱，镀锌板，静电喷塑，尺寸</w:t>
            </w:r>
            <w:r>
              <w:rPr>
                <w:rFonts w:hint="eastAsia" w:ascii="宋体" w:hAnsi="宋体" w:eastAsia="宋体" w:cs="宋体"/>
                <w:kern w:val="0"/>
                <w:sz w:val="24"/>
                <w:szCs w:val="24"/>
                <w:lang w:bidi="ar"/>
              </w:rPr>
              <w:t>≥</w:t>
            </w:r>
            <w:r>
              <w:rPr>
                <w:rFonts w:hint="eastAsia" w:ascii="宋体" w:hAnsi="宋体" w:eastAsia="宋体" w:cs="宋体"/>
                <w:spacing w:val="5"/>
                <w:sz w:val="24"/>
                <w:szCs w:val="24"/>
              </w:rPr>
              <w:t>400mm×300mm×200mm，±5mm。其中与监控立杆配套的设备箱应符合使用要求。</w:t>
            </w:r>
          </w:p>
        </w:tc>
      </w:tr>
      <w:tr>
        <w:tblPrEx>
          <w:tblCellMar>
            <w:top w:w="0" w:type="dxa"/>
            <w:left w:w="108" w:type="dxa"/>
            <w:bottom w:w="0" w:type="dxa"/>
            <w:right w:w="108" w:type="dxa"/>
          </w:tblCellMar>
        </w:tblPrEx>
        <w:trPr>
          <w:trHeight w:val="828" w:hRule="atLeast"/>
          <w:jc w:val="center"/>
        </w:trPr>
        <w:tc>
          <w:tcPr>
            <w:tcW w:w="357" w:type="pc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06"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358" w:type="pct"/>
            <w:vMerge w:val="continue"/>
            <w:tcBorders>
              <w:top w:val="nil"/>
              <w:left w:val="single" w:color="auto" w:sz="4" w:space="0"/>
              <w:bottom w:val="single" w:color="000000"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p>
        </w:tc>
        <w:tc>
          <w:tcPr>
            <w:tcW w:w="457" w:type="pct"/>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24口交换机</w:t>
            </w:r>
          </w:p>
        </w:tc>
        <w:tc>
          <w:tcPr>
            <w:tcW w:w="3420" w:type="pct"/>
            <w:tcBorders>
              <w:top w:val="nil"/>
              <w:left w:val="nil"/>
              <w:bottom w:val="single" w:color="auto" w:sz="4" w:space="0"/>
              <w:right w:val="single" w:color="auto" w:sz="4" w:space="0"/>
            </w:tcBorders>
            <w:noWrap w:val="0"/>
            <w:vAlign w:val="center"/>
          </w:tcPr>
          <w:p>
            <w:pPr>
              <w:widowControl/>
              <w:numPr>
                <w:ilvl w:val="0"/>
                <w:numId w:val="1"/>
              </w:numPr>
              <w:spacing w:line="360" w:lineRule="auto"/>
              <w:ind w:left="0" w:firstLine="0"/>
              <w:textAlignment w:val="center"/>
              <w:rPr>
                <w:rFonts w:hint="eastAsia" w:ascii="宋体" w:hAnsi="宋体" w:eastAsia="宋体" w:cs="宋体"/>
                <w:spacing w:val="5"/>
                <w:sz w:val="24"/>
                <w:szCs w:val="24"/>
              </w:rPr>
            </w:pPr>
            <w:r>
              <w:rPr>
                <w:rFonts w:hint="eastAsia" w:ascii="宋体" w:hAnsi="宋体" w:eastAsia="宋体" w:cs="宋体"/>
                <w:spacing w:val="5"/>
                <w:sz w:val="24"/>
                <w:szCs w:val="24"/>
              </w:rPr>
              <w:t>24个10/100/1000BASE-T以太网端口,</w:t>
            </w:r>
            <w:r>
              <w:rPr>
                <w:rFonts w:hint="eastAsia" w:ascii="宋体" w:hAnsi="宋体" w:eastAsia="宋体" w:cs="宋体"/>
                <w:kern w:val="0"/>
                <w:sz w:val="24"/>
                <w:szCs w:val="24"/>
                <w:lang w:bidi="ar"/>
              </w:rPr>
              <w:t>≥</w:t>
            </w:r>
            <w:r>
              <w:rPr>
                <w:rFonts w:hint="eastAsia" w:ascii="宋体" w:hAnsi="宋体" w:eastAsia="宋体" w:cs="宋体"/>
                <w:spacing w:val="5"/>
                <w:sz w:val="24"/>
                <w:szCs w:val="24"/>
              </w:rPr>
              <w:t>4个千兆SFP,交流供电；交换容量336Gbps/3.36Tbps，包转发率51/126Mpps，无风扇静音款。</w:t>
            </w:r>
          </w:p>
        </w:tc>
      </w:tr>
    </w:tbl>
    <w:p>
      <w:pPr>
        <w:widowControl/>
        <w:spacing w:line="360" w:lineRule="auto"/>
        <w:jc w:val="left"/>
        <w:rPr>
          <w:rFonts w:hint="eastAsia" w:ascii="宋体" w:hAnsi="宋体" w:eastAsia="宋体" w:cs="宋体"/>
          <w:b/>
          <w:bCs/>
          <w:kern w:val="0"/>
          <w:sz w:val="24"/>
          <w:szCs w:val="24"/>
          <w:lang w:bidi="ar"/>
        </w:rPr>
      </w:pPr>
      <w:r>
        <w:rPr>
          <w:rFonts w:hint="eastAsia" w:ascii="宋体" w:hAnsi="宋体" w:eastAsia="宋体" w:cs="宋体"/>
          <w:bCs/>
          <w:sz w:val="24"/>
          <w:szCs w:val="24"/>
        </w:rPr>
        <w:t>▲</w:t>
      </w:r>
      <w:r>
        <w:rPr>
          <w:rFonts w:hint="eastAsia" w:ascii="宋体" w:hAnsi="宋体" w:eastAsia="宋体" w:cs="宋体"/>
          <w:b/>
          <w:bCs/>
          <w:kern w:val="0"/>
          <w:sz w:val="24"/>
          <w:szCs w:val="24"/>
          <w:lang w:bidi="ar"/>
        </w:rPr>
        <w:t>三、质量要求</w:t>
      </w:r>
    </w:p>
    <w:p>
      <w:pPr>
        <w:widowControl/>
        <w:numPr>
          <w:ilvl w:val="0"/>
          <w:numId w:val="2"/>
        </w:numPr>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 xml:space="preserve">供应商须提供全新的货物(含零部件、配件、使用说明书等)，表面无划伤、无碰撞痕迹，且权属清楚，不得侵害他人的知识产权。供应商应保证所提供的货物、服务或其任何一部分均不会侵犯任何第三方的专利权、商标权或著作权(应在投标文件中提供承诺函，格式自拟)。 </w:t>
      </w:r>
    </w:p>
    <w:p>
      <w:pPr>
        <w:widowControl/>
        <w:numPr>
          <w:ilvl w:val="0"/>
          <w:numId w:val="2"/>
        </w:numPr>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货物必须符合或优于国家相关行业标准，以及本项目招标文件及技术协议的质量要求和技术指标与出厂标准。</w:t>
      </w:r>
    </w:p>
    <w:p>
      <w:pPr>
        <w:widowControl/>
        <w:numPr>
          <w:ilvl w:val="0"/>
          <w:numId w:val="2"/>
        </w:numPr>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每台货物上均应有产品质量检验合格标志。</w:t>
      </w:r>
    </w:p>
    <w:p>
      <w:pPr>
        <w:widowControl/>
        <w:numPr>
          <w:ilvl w:val="0"/>
          <w:numId w:val="2"/>
        </w:numPr>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货物制造质量出现问题，供应商应负责三包(包修、包换、包退)，费用由供应商负担，采购人有权到供应商生产场地检查货物质量和生产进度。</w:t>
      </w:r>
    </w:p>
    <w:p>
      <w:pPr>
        <w:widowControl/>
        <w:numPr>
          <w:ilvl w:val="0"/>
          <w:numId w:val="2"/>
        </w:numPr>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货到现场后交付采购人使用前,由供应商运输、装卸、保管不当造成的质量问题，供应商负责修理，费用由成交供应商负担;</w:t>
      </w:r>
    </w:p>
    <w:p>
      <w:pPr>
        <w:widowControl/>
        <w:numPr>
          <w:ilvl w:val="0"/>
          <w:numId w:val="2"/>
        </w:numPr>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所有货物包含部署调试、培训、售后，硬件设备运输、安装调试、配件辅材、改线路、布线布管、墙面恢复等。</w:t>
      </w:r>
    </w:p>
    <w:p>
      <w:pPr>
        <w:widowControl/>
        <w:spacing w:line="360" w:lineRule="auto"/>
        <w:jc w:val="left"/>
        <w:rPr>
          <w:rFonts w:hint="eastAsia" w:ascii="宋体" w:hAnsi="宋体" w:eastAsia="宋体" w:cs="宋体"/>
          <w:b/>
          <w:bCs/>
          <w:sz w:val="24"/>
          <w:szCs w:val="24"/>
        </w:rPr>
      </w:pPr>
      <w:r>
        <w:rPr>
          <w:rFonts w:hint="eastAsia" w:ascii="宋体" w:hAnsi="宋体" w:eastAsia="宋体" w:cs="宋体"/>
          <w:bCs/>
          <w:sz w:val="24"/>
          <w:szCs w:val="24"/>
        </w:rPr>
        <w:t>▲</w:t>
      </w:r>
      <w:r>
        <w:rPr>
          <w:rFonts w:hint="eastAsia" w:ascii="宋体" w:hAnsi="宋体" w:eastAsia="宋体" w:cs="宋体"/>
          <w:b/>
          <w:bCs/>
          <w:sz w:val="24"/>
          <w:szCs w:val="24"/>
        </w:rPr>
        <w:t>四、售后服务要求</w:t>
      </w:r>
    </w:p>
    <w:p>
      <w:pPr>
        <w:pStyle w:val="11"/>
        <w:numPr>
          <w:ilvl w:val="0"/>
          <w:numId w:val="3"/>
        </w:numPr>
        <w:spacing w:line="360" w:lineRule="auto"/>
        <w:ind w:firstLine="480" w:firstLineChars="0"/>
        <w:rPr>
          <w:rFonts w:hint="eastAsia" w:ascii="宋体" w:hAnsi="宋体" w:eastAsia="宋体" w:cs="宋体"/>
          <w:sz w:val="24"/>
          <w:szCs w:val="24"/>
        </w:rPr>
      </w:pPr>
      <w:r>
        <w:rPr>
          <w:rFonts w:hint="eastAsia" w:ascii="宋体" w:hAnsi="宋体" w:eastAsia="宋体" w:cs="宋体"/>
          <w:sz w:val="24"/>
          <w:szCs w:val="24"/>
        </w:rPr>
        <w:t>质保期为验收合格后1年，质保期内出现质量问题，乙方在接到通知后</w:t>
      </w:r>
      <w:r>
        <w:rPr>
          <w:rFonts w:hint="eastAsia" w:ascii="宋体" w:hAnsi="宋体" w:eastAsia="宋体" w:cs="宋体"/>
          <w:sz w:val="24"/>
          <w:szCs w:val="24"/>
          <w:u w:val="single"/>
        </w:rPr>
        <w:t xml:space="preserve"> 72  </w:t>
      </w:r>
      <w:r>
        <w:rPr>
          <w:rFonts w:hint="eastAsia" w:ascii="宋体" w:hAnsi="宋体" w:eastAsia="宋体" w:cs="宋体"/>
          <w:sz w:val="24"/>
          <w:szCs w:val="24"/>
        </w:rPr>
        <w:t>小时内响应到场，</w:t>
      </w:r>
      <w:r>
        <w:rPr>
          <w:rFonts w:hint="eastAsia" w:ascii="宋体" w:hAnsi="宋体" w:eastAsia="宋体" w:cs="宋体"/>
          <w:sz w:val="24"/>
          <w:szCs w:val="24"/>
          <w:u w:val="single"/>
        </w:rPr>
        <w:t xml:space="preserve"> 48  </w:t>
      </w:r>
      <w:r>
        <w:rPr>
          <w:rFonts w:hint="eastAsia" w:ascii="宋体" w:hAnsi="宋体" w:eastAsia="宋体" w:cs="宋体"/>
          <w:sz w:val="24"/>
          <w:szCs w:val="24"/>
        </w:rPr>
        <w:t>小时内完成维修或更换，并承担修理调换的费用；如货物经乙方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2</w:t>
      </w:r>
      <w:r>
        <w:rPr>
          <w:rFonts w:hint="eastAsia" w:ascii="宋体" w:hAnsi="宋体" w:eastAsia="宋体" w:cs="宋体"/>
          <w:sz w:val="24"/>
          <w:szCs w:val="24"/>
          <w:u w:val="single"/>
        </w:rPr>
        <w:t xml:space="preserve">  </w:t>
      </w:r>
      <w:r>
        <w:rPr>
          <w:rFonts w:hint="eastAsia" w:ascii="宋体" w:hAnsi="宋体" w:eastAsia="宋体" w:cs="宋体"/>
          <w:sz w:val="24"/>
          <w:szCs w:val="24"/>
        </w:rPr>
        <w:t>次维修仍不能达到本合同约定的质量标准，视作乙方未能按时交货，甲方有权退货并追究乙方的违约责任。</w:t>
      </w:r>
    </w:p>
    <w:p>
      <w:pPr>
        <w:pStyle w:val="11"/>
        <w:numPr>
          <w:ilvl w:val="0"/>
          <w:numId w:val="3"/>
        </w:numPr>
        <w:spacing w:line="360" w:lineRule="auto"/>
        <w:ind w:firstLine="480" w:firstLineChars="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乙方须有完善的技术支持与服务体系，专人负责与采购人联系售后服务事宜，必要的售后机具配置、具有专门的服务电话，并能提供本地化服务。</w:t>
      </w:r>
    </w:p>
    <w:p>
      <w:pPr>
        <w:pStyle w:val="11"/>
        <w:numPr>
          <w:ilvl w:val="0"/>
          <w:numId w:val="3"/>
        </w:numPr>
        <w:spacing w:line="360" w:lineRule="auto"/>
        <w:ind w:firstLine="480" w:firstLineChars="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供应商负责对采购人技术人员进行免费现场培训，培训内容包括仪器的性能、原理、操作、保养和维护等。</w:t>
      </w:r>
    </w:p>
    <w:p>
      <w:pPr>
        <w:pStyle w:val="11"/>
        <w:numPr>
          <w:ilvl w:val="0"/>
          <w:numId w:val="3"/>
        </w:numPr>
        <w:spacing w:line="360" w:lineRule="auto"/>
        <w:ind w:firstLine="480" w:firstLineChars="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安装调试达到采购人可独立使用，并在培训后免费提供使用咨询，每年不得少于2次巡检，定期维护终身维修等。</w:t>
      </w:r>
    </w:p>
    <w:p>
      <w:pPr>
        <w:pStyle w:val="11"/>
        <w:numPr>
          <w:ilvl w:val="0"/>
          <w:numId w:val="3"/>
        </w:numPr>
        <w:spacing w:line="360" w:lineRule="auto"/>
        <w:ind w:firstLine="480" w:firstLineChars="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质保期内供应商负责所有设施设备的运行维护，因设备质量问题而产生的费用，所有服务免费。负责落实专业人员开展质保期内一体化A2O污水处理设施污水处理站（包含全站所有设施设备）正常运维，确保出水水质达标。质保期满前一个月，供应商免费负责一次全面的检查、维护，并出具正式报告，如发现潜在问题，应负责排除不收取任何费用。若采购人遇故障后求援，需要保证 1～2 小时内有专人回复。若维修工程电话不能解决故障，即使有特殊情况，需要保证在 2～3 个工作日内到现场处理。质保期内供应商无偿提供各相应零配件季消耗性材料，并进行安装或补充。</w:t>
      </w:r>
    </w:p>
    <w:p>
      <w:pPr>
        <w:pStyle w:val="11"/>
        <w:numPr>
          <w:ilvl w:val="0"/>
          <w:numId w:val="3"/>
        </w:numPr>
        <w:spacing w:line="360" w:lineRule="auto"/>
        <w:ind w:firstLine="480" w:firstLineChars="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质保期内出现质量问题，如货物经供应商 2 次维修仍不能达到本合同约定的质量标准，视作供应商未能按时交货，采购人有权退货并追究供应商的违约责任。</w:t>
      </w:r>
    </w:p>
    <w:p>
      <w:pPr>
        <w:pStyle w:val="11"/>
        <w:numPr>
          <w:ilvl w:val="0"/>
          <w:numId w:val="3"/>
        </w:numPr>
        <w:spacing w:line="360" w:lineRule="auto"/>
        <w:ind w:firstLine="480" w:firstLineChars="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供应商承诺项目全部设备的各种部件均保证齐备、充足供应，若因设备升级更新等原因不能保障供应造成采购人损失的，供应商承担全部赔偿责任，在交货时需向采购人提供设备常规备品备件。</w:t>
      </w:r>
    </w:p>
    <w:p>
      <w:pPr>
        <w:pStyle w:val="11"/>
        <w:numPr>
          <w:ilvl w:val="0"/>
          <w:numId w:val="3"/>
        </w:numPr>
        <w:spacing w:line="360" w:lineRule="auto"/>
        <w:ind w:firstLine="480" w:firstLineChars="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供应商针对本项目提供的其他有利于项目售后保障措施。</w:t>
      </w:r>
    </w:p>
    <w:p>
      <w:pPr>
        <w:pStyle w:val="11"/>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五、▲商务要求</w:t>
      </w:r>
    </w:p>
    <w:p>
      <w:pPr>
        <w:widowControl/>
        <w:spacing w:line="360" w:lineRule="auto"/>
        <w:jc w:val="left"/>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（一）履约时间和地点：</w:t>
      </w:r>
    </w:p>
    <w:p>
      <w:pPr>
        <w:widowControl/>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1.履约时间：政府采购合同生效后90个日历天完成送货、安装、验收；</w:t>
      </w:r>
    </w:p>
    <w:p>
      <w:pPr>
        <w:widowControl/>
        <w:spacing w:line="360" w:lineRule="auto"/>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2.履约地点：采购人指定地点；</w:t>
      </w:r>
    </w:p>
    <w:p>
      <w:pPr>
        <w:spacing w:line="360" w:lineRule="auto"/>
        <w:rPr>
          <w:rFonts w:hint="eastAsia" w:ascii="宋体" w:hAnsi="宋体" w:eastAsia="宋体" w:cs="宋体"/>
          <w:b/>
          <w:bCs/>
          <w:sz w:val="24"/>
          <w:szCs w:val="24"/>
        </w:rPr>
      </w:pPr>
      <w:r>
        <w:rPr>
          <w:rFonts w:hint="eastAsia" w:ascii="宋体" w:hAnsi="宋体" w:eastAsia="宋体" w:cs="宋体"/>
          <w:kern w:val="0"/>
          <w:sz w:val="24"/>
          <w:szCs w:val="24"/>
          <w:lang w:bidi="ar"/>
        </w:rPr>
        <w:t>（</w:t>
      </w:r>
      <w:r>
        <w:rPr>
          <w:rFonts w:hint="eastAsia" w:ascii="宋体" w:hAnsi="宋体" w:eastAsia="宋体" w:cs="宋体"/>
          <w:b/>
          <w:bCs/>
          <w:kern w:val="0"/>
          <w:sz w:val="24"/>
          <w:szCs w:val="24"/>
          <w:lang w:bidi="ar"/>
        </w:rPr>
        <w:t>二）</w:t>
      </w:r>
      <w:r>
        <w:rPr>
          <w:rFonts w:hint="eastAsia" w:ascii="宋体" w:hAnsi="宋体" w:eastAsia="宋体" w:cs="宋体"/>
          <w:b/>
          <w:bCs/>
          <w:sz w:val="24"/>
          <w:szCs w:val="24"/>
        </w:rPr>
        <w:t>质量保修范围和保修期：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质保期：壹年(质保期以验收合格之日起开始计算)。质保期结束后成交供应商只收取成本费（质保期为验收合格之日起计算）。</w:t>
      </w:r>
    </w:p>
    <w:p>
      <w:pPr>
        <w:widowControl/>
        <w:numPr>
          <w:ilvl w:val="0"/>
          <w:numId w:val="4"/>
        </w:numPr>
        <w:spacing w:line="360" w:lineRule="auto"/>
        <w:jc w:val="left"/>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履约保证金：</w:t>
      </w:r>
    </w:p>
    <w:p>
      <w:pPr>
        <w:widowControl/>
        <w:spacing w:line="360" w:lineRule="auto"/>
        <w:ind w:firstLine="240" w:firstLineChars="100"/>
        <w:jc w:val="left"/>
        <w:rPr>
          <w:rFonts w:hint="eastAsia" w:ascii="宋体" w:hAnsi="宋体" w:eastAsia="宋体" w:cs="宋体"/>
          <w:b/>
          <w:bCs/>
          <w:kern w:val="0"/>
          <w:sz w:val="24"/>
          <w:szCs w:val="24"/>
          <w:lang w:bidi="ar"/>
        </w:rPr>
      </w:pPr>
      <w:r>
        <w:rPr>
          <w:rFonts w:hint="eastAsia" w:ascii="宋体" w:hAnsi="宋体" w:eastAsia="宋体" w:cs="宋体"/>
          <w:kern w:val="0"/>
          <w:sz w:val="24"/>
          <w:szCs w:val="24"/>
          <w:lang w:bidi="ar"/>
        </w:rPr>
        <w:t>签订合同前，成交供应商缴纳合同金额5%给到采购人指定账户作为履约保证金，履约保证金待质保期满后一次性无息退还给成交供应商。</w:t>
      </w:r>
    </w:p>
    <w:p>
      <w:pPr>
        <w:widowControl/>
        <w:numPr>
          <w:ilvl w:val="0"/>
          <w:numId w:val="5"/>
        </w:numPr>
        <w:spacing w:line="360" w:lineRule="auto"/>
        <w:jc w:val="left"/>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付款方式:</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1、甲方在本合同签订生效之日起接到乙方通知和票据凭证资料以及乙方交给甲方的合同履约保证金（按合同总价的百分之</w:t>
      </w:r>
      <w:r>
        <w:rPr>
          <w:rFonts w:hint="eastAsia" w:ascii="宋体" w:hAnsi="宋体" w:eastAsia="宋体" w:cs="宋体"/>
          <w:sz w:val="24"/>
          <w:szCs w:val="24"/>
          <w:u w:val="single"/>
        </w:rPr>
        <w:t>五</w:t>
      </w:r>
      <w:r>
        <w:rPr>
          <w:rFonts w:hint="eastAsia" w:ascii="宋体" w:hAnsi="宋体" w:eastAsia="宋体" w:cs="宋体"/>
          <w:sz w:val="24"/>
          <w:szCs w:val="24"/>
        </w:rPr>
        <w:t>）、完成现场踏勘、确定供货方案、提供的供货样品达到采购人要求后的</w:t>
      </w:r>
      <w:r>
        <w:rPr>
          <w:rFonts w:hint="eastAsia" w:ascii="宋体" w:hAnsi="宋体" w:eastAsia="宋体" w:cs="宋体"/>
          <w:sz w:val="24"/>
          <w:szCs w:val="24"/>
          <w:u w:val="single"/>
        </w:rPr>
        <w:t xml:space="preserve">  10  </w:t>
      </w:r>
      <w:r>
        <w:rPr>
          <w:rFonts w:hint="eastAsia" w:ascii="宋体" w:hAnsi="宋体" w:eastAsia="宋体" w:cs="宋体"/>
          <w:sz w:val="24"/>
          <w:szCs w:val="24"/>
        </w:rPr>
        <w:t>日内支付合同金额百分之</w:t>
      </w:r>
      <w:r>
        <w:rPr>
          <w:rFonts w:hint="eastAsia" w:ascii="宋体" w:hAnsi="宋体" w:eastAsia="宋体" w:cs="宋体"/>
          <w:sz w:val="24"/>
          <w:szCs w:val="24"/>
          <w:u w:val="single"/>
        </w:rPr>
        <w:t xml:space="preserve"> 三十</w:t>
      </w:r>
      <w:r>
        <w:rPr>
          <w:rFonts w:hint="eastAsia" w:ascii="宋体" w:hAnsi="宋体" w:eastAsia="宋体" w:cs="宋体"/>
          <w:sz w:val="24"/>
          <w:szCs w:val="24"/>
        </w:rPr>
        <w:t>的价款；</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2、全部货物安装调试完毕后，甲方向乙方支付合同金额百分之</w:t>
      </w:r>
      <w:r>
        <w:rPr>
          <w:rFonts w:hint="eastAsia" w:ascii="宋体" w:hAnsi="宋体" w:eastAsia="宋体" w:cs="宋体"/>
          <w:sz w:val="24"/>
          <w:szCs w:val="24"/>
          <w:u w:val="single"/>
        </w:rPr>
        <w:t>四十</w:t>
      </w:r>
      <w:r>
        <w:rPr>
          <w:rFonts w:hint="eastAsia" w:ascii="宋体" w:hAnsi="宋体" w:eastAsia="宋体" w:cs="宋体"/>
          <w:sz w:val="24"/>
          <w:szCs w:val="24"/>
        </w:rPr>
        <w:t>的价款；全部货物验收合格之日起，甲方接到乙方通知与票据凭证资料以后的</w:t>
      </w:r>
      <w:r>
        <w:rPr>
          <w:rFonts w:hint="eastAsia" w:ascii="宋体" w:hAnsi="宋体" w:eastAsia="宋体" w:cs="宋体"/>
          <w:sz w:val="24"/>
          <w:szCs w:val="24"/>
          <w:u w:val="single"/>
        </w:rPr>
        <w:t xml:space="preserve">  10 </w:t>
      </w:r>
      <w:r>
        <w:rPr>
          <w:rFonts w:hint="eastAsia" w:ascii="宋体" w:hAnsi="宋体" w:eastAsia="宋体" w:cs="宋体"/>
          <w:sz w:val="24"/>
          <w:szCs w:val="24"/>
        </w:rPr>
        <w:t>日内，向乙方核拨合同总价的百分之</w:t>
      </w:r>
      <w:r>
        <w:rPr>
          <w:rFonts w:hint="eastAsia" w:ascii="宋体" w:hAnsi="宋体" w:eastAsia="宋体" w:cs="宋体"/>
          <w:sz w:val="24"/>
          <w:szCs w:val="24"/>
          <w:u w:val="single"/>
        </w:rPr>
        <w:t xml:space="preserve">  三十 </w:t>
      </w:r>
      <w:r>
        <w:rPr>
          <w:rFonts w:hint="eastAsia" w:ascii="宋体" w:hAnsi="宋体" w:eastAsia="宋体" w:cs="宋体"/>
          <w:sz w:val="24"/>
          <w:szCs w:val="24"/>
        </w:rPr>
        <w:t>款项；</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3、履约保证金退还：在货物验收合格满</w:t>
      </w:r>
      <w:r>
        <w:rPr>
          <w:rFonts w:hint="eastAsia" w:ascii="宋体" w:hAnsi="宋体" w:eastAsia="宋体" w:cs="宋体"/>
          <w:sz w:val="24"/>
          <w:szCs w:val="24"/>
          <w:u w:val="single"/>
        </w:rPr>
        <w:t xml:space="preserve">  1年  </w:t>
      </w:r>
      <w:r>
        <w:rPr>
          <w:rFonts w:hint="eastAsia" w:ascii="宋体" w:hAnsi="宋体" w:eastAsia="宋体" w:cs="宋体"/>
          <w:sz w:val="24"/>
          <w:szCs w:val="24"/>
        </w:rPr>
        <w:t>后，甲方接到乙方通知和支付凭证资料文件，以及由甲方确认本合同货物质量与服务等约定事项已经履行完毕的正式书面文件后的</w:t>
      </w:r>
      <w:r>
        <w:rPr>
          <w:rFonts w:hint="eastAsia" w:ascii="宋体" w:hAnsi="宋体" w:eastAsia="宋体" w:cs="宋体"/>
          <w:sz w:val="24"/>
          <w:szCs w:val="24"/>
          <w:u w:val="single"/>
        </w:rPr>
        <w:t xml:space="preserve">   10  </w:t>
      </w:r>
      <w:r>
        <w:rPr>
          <w:rFonts w:hint="eastAsia" w:ascii="宋体" w:hAnsi="宋体" w:eastAsia="宋体" w:cs="宋体"/>
          <w:sz w:val="24"/>
          <w:szCs w:val="24"/>
        </w:rPr>
        <w:t>日内，递交结算凭证资料给银行并由其向乙方一次性无息退还履约保证金；乙方履约不合格的，履约保证金不予退还。</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4、乙方须向甲方出具合法有效完整的完税发票及凭证资料进行支付结算。</w:t>
      </w:r>
    </w:p>
    <w:p>
      <w:pPr>
        <w:widowControl/>
        <w:spacing w:line="360" w:lineRule="auto"/>
        <w:jc w:val="left"/>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（五）合同价款:</w:t>
      </w:r>
    </w:p>
    <w:p>
      <w:pPr>
        <w:numPr>
          <w:ilvl w:val="0"/>
          <w:numId w:val="6"/>
        </w:num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lang w:bidi="ar"/>
        </w:rPr>
        <w:t>包括现场踏勘、货物设计、材料、生产制造、包装、运输、安装、调试、检测、保险、培训、风险、利润、专家评审费、文本费、招标代理服务费、验收合格交付使用之前及质保期内保修运维服务（包含电费、网费、药剂费、检测费、人工费等）与备用物件等等所有其他有关各项的含税费用。</w:t>
      </w:r>
    </w:p>
    <w:p>
      <w:pPr>
        <w:numPr>
          <w:ilvl w:val="0"/>
          <w:numId w:val="6"/>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所投设备必须成套和完整，本项目需求未列明但属于各项采购设备正常运行的所需配件必须一并报价，并在投标价格明细表中列出，如果在安装调试运行过程发现有缺项漏项，且又是各项设备正常运行所必须的，由成交供应商提供，采购人不再额外支出任何费用。</w:t>
      </w:r>
    </w:p>
    <w:p>
      <w:pPr>
        <w:pStyle w:val="2"/>
        <w:spacing w:line="360" w:lineRule="auto"/>
        <w:rPr>
          <w:rFonts w:hint="eastAsia" w:ascii="宋体" w:hAnsi="宋体" w:eastAsia="宋体" w:cs="宋体"/>
          <w:sz w:val="24"/>
          <w:szCs w:val="24"/>
        </w:rPr>
      </w:pPr>
      <w:r>
        <w:rPr>
          <w:rFonts w:hint="eastAsia" w:ascii="宋体" w:hAnsi="宋体" w:eastAsia="宋体" w:cs="宋体"/>
          <w:sz w:val="24"/>
          <w:szCs w:val="24"/>
        </w:rPr>
        <w:t>（六）交货及验收：</w:t>
      </w:r>
    </w:p>
    <w:p>
      <w:pPr>
        <w:pStyle w:val="11"/>
        <w:spacing w:line="360" w:lineRule="auto"/>
        <w:ind w:firstLine="480"/>
        <w:rPr>
          <w:rFonts w:hint="eastAsia" w:ascii="宋体" w:hAnsi="宋体" w:eastAsia="宋体" w:cs="宋体"/>
          <w:sz w:val="24"/>
          <w:szCs w:val="24"/>
        </w:rPr>
      </w:pPr>
      <w:r>
        <w:rPr>
          <w:rFonts w:hint="eastAsia" w:ascii="宋体" w:hAnsi="宋体" w:eastAsia="宋体" w:cs="宋体"/>
          <w:kern w:val="0"/>
          <w:sz w:val="24"/>
          <w:szCs w:val="24"/>
          <w:lang w:bidi="ar"/>
        </w:rPr>
        <w:t>1、</w:t>
      </w:r>
      <w:r>
        <w:rPr>
          <w:rFonts w:hint="eastAsia" w:ascii="宋体" w:hAnsi="宋体" w:eastAsia="宋体" w:cs="宋体"/>
          <w:sz w:val="24"/>
          <w:szCs w:val="24"/>
        </w:rPr>
        <w:t>供应商交货期限为合同签订生效后的90日内，在合同签订生效之日起40天内交货到采购人指定地点，随即在50日内全部完成安装调试验收合格交付使用，并且最迟应在2023年5月16日前全部完成安装调试验收合格交付使用(如由于采购人的原因造成合同延迟签订或验收的，时间顺延)。交货验收时须提供产品质检部门从同类产品中抽样检查合格的检测报告。</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2、验收由采购人组织</w:t>
      </w:r>
      <w:r>
        <w:rPr>
          <w:rFonts w:hint="eastAsia" w:ascii="宋体" w:hAnsi="宋体" w:eastAsia="宋体" w:cs="宋体"/>
          <w:kern w:val="0"/>
          <w:sz w:val="24"/>
          <w:szCs w:val="24"/>
          <w:lang w:bidi="ar"/>
        </w:rPr>
        <w:t>或采购人委托第三方专业机构进行</w:t>
      </w:r>
      <w:r>
        <w:rPr>
          <w:rFonts w:hint="eastAsia" w:ascii="宋体" w:hAnsi="宋体" w:eastAsia="宋体" w:cs="宋体"/>
          <w:sz w:val="24"/>
          <w:szCs w:val="24"/>
        </w:rPr>
        <w:t>，供应商配合进行：</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(1) 货物在供应商通知安装调试完毕后</w:t>
      </w:r>
      <w:r>
        <w:rPr>
          <w:rFonts w:hint="eastAsia" w:ascii="宋体" w:hAnsi="宋体" w:eastAsia="宋体" w:cs="宋体"/>
          <w:sz w:val="24"/>
          <w:szCs w:val="24"/>
          <w:u w:val="single"/>
        </w:rPr>
        <w:t xml:space="preserve">  10  </w:t>
      </w:r>
      <w:r>
        <w:rPr>
          <w:rFonts w:hint="eastAsia" w:ascii="宋体" w:hAnsi="宋体" w:eastAsia="宋体" w:cs="宋体"/>
          <w:sz w:val="24"/>
          <w:szCs w:val="24"/>
        </w:rPr>
        <w:t>日内初步验收。初步验收合格后，进入</w:t>
      </w:r>
      <w:r>
        <w:rPr>
          <w:rFonts w:hint="eastAsia" w:ascii="宋体" w:hAnsi="宋体" w:eastAsia="宋体" w:cs="宋体"/>
          <w:sz w:val="24"/>
          <w:szCs w:val="24"/>
          <w:u w:val="single"/>
        </w:rPr>
        <w:t xml:space="preserve">  30天  </w:t>
      </w:r>
      <w:r>
        <w:rPr>
          <w:rFonts w:hint="eastAsia" w:ascii="宋体" w:hAnsi="宋体" w:eastAsia="宋体" w:cs="宋体"/>
          <w:sz w:val="24"/>
          <w:szCs w:val="24"/>
        </w:rPr>
        <w:t>试用期；试用期间发生重大质量问题，修复后试用相应顺延；试用期结束后</w:t>
      </w:r>
      <w:r>
        <w:rPr>
          <w:rFonts w:hint="eastAsia" w:ascii="宋体" w:hAnsi="宋体" w:eastAsia="宋体" w:cs="宋体"/>
          <w:sz w:val="24"/>
          <w:szCs w:val="24"/>
          <w:u w:val="single"/>
        </w:rPr>
        <w:t xml:space="preserve">  10  </w:t>
      </w:r>
      <w:r>
        <w:rPr>
          <w:rFonts w:hint="eastAsia" w:ascii="宋体" w:hAnsi="宋体" w:eastAsia="宋体" w:cs="宋体"/>
          <w:sz w:val="24"/>
          <w:szCs w:val="24"/>
        </w:rPr>
        <w:t>日内完成最终验收；</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(2) 验收标准：按国家有关规定以及采购人招标文件的质量要求和技术指标、供应商的投标文件及承诺与本合同约定标准进行验收；甲乙双方如对质量要求和技术指标的约定标准有相互抵触或异议的事项，由采购人在招标与投标文件中按质量要求和技术指标比较优胜的原则确定该项的约定标准进行验收；60方一体化A2O污水处理设施出水水质须满足行四川省《农村生活污水处理设施水污染物排放标准》（DB51/2626- 2019）一级标准要求，须提供通过检测资质的第三方出具的出水水质检测合格报告、产品质量证明书、产品合格证、产品质量检测报告及其他相关检测报告为验收依据；</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(3)供应商</w:t>
      </w:r>
      <w:r>
        <w:rPr>
          <w:rFonts w:hint="eastAsia" w:ascii="宋体" w:hAnsi="宋体" w:eastAsia="宋体" w:cs="宋体"/>
          <w:kern w:val="0"/>
          <w:sz w:val="24"/>
          <w:szCs w:val="24"/>
          <w:lang w:bidi="ar"/>
        </w:rPr>
        <w:t>所提供的设备是经检验合格的全新正品，不得以次充好，产品来源渠道必须合法，同时应根据国家有关规定、厂家服务承诺及采购单位的要求做好售后服务工作。</w:t>
      </w:r>
      <w:r>
        <w:rPr>
          <w:rFonts w:hint="eastAsia" w:ascii="宋体" w:hAnsi="宋体" w:eastAsia="宋体" w:cs="宋体"/>
          <w:sz w:val="24"/>
          <w:szCs w:val="24"/>
        </w:rPr>
        <w:t>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供应商承担，验收期限相应顺延；</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(4) 如质量验收合格，双方签署质量验收报告。</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3、货物安装完成后</w:t>
      </w:r>
      <w:r>
        <w:rPr>
          <w:rFonts w:hint="eastAsia" w:ascii="宋体" w:hAnsi="宋体" w:eastAsia="宋体" w:cs="宋体"/>
          <w:sz w:val="24"/>
          <w:szCs w:val="24"/>
          <w:u w:val="single"/>
        </w:rPr>
        <w:t xml:space="preserve">  60 </w:t>
      </w:r>
      <w:r>
        <w:rPr>
          <w:rFonts w:hint="eastAsia" w:ascii="宋体" w:hAnsi="宋体" w:eastAsia="宋体" w:cs="宋体"/>
          <w:sz w:val="24"/>
          <w:szCs w:val="24"/>
        </w:rPr>
        <w:t>日内，采购人无故不进行验收工作并已使用货物的，视同已安装调试完成并验收合格。</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4、供应商应将所提供货物的装箱清单、配件、随机工具、用户使用手册、原厂保修卡等资料交付给采购人；供应商不能完整交付货物及本款规定的单证和工具的，必须负责补齐，否则视为未按合同约定交货。供应商应就污染治理设施的操作、维修、保养等对使用人进行培训，直至使用人能独立操作，同时能完成一般常见故障的维修工作。</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5、如货物经供应商</w:t>
      </w:r>
      <w:r>
        <w:rPr>
          <w:rFonts w:hint="eastAsia" w:ascii="宋体" w:hAnsi="宋体" w:eastAsia="宋体" w:cs="宋体"/>
          <w:sz w:val="24"/>
          <w:szCs w:val="24"/>
          <w:u w:val="single"/>
        </w:rPr>
        <w:t xml:space="preserve">  2 </w:t>
      </w:r>
      <w:r>
        <w:rPr>
          <w:rFonts w:hint="eastAsia" w:ascii="宋体" w:hAnsi="宋体" w:eastAsia="宋体" w:cs="宋体"/>
          <w:sz w:val="24"/>
          <w:szCs w:val="24"/>
        </w:rPr>
        <w:t>次维修仍不能达到合同约定的质量标准，采购人有权退货，并视作供应商不能交付货物而须支付违约赔偿金给采购人，采购人还可依法追究供应商的违约责任。 </w:t>
      </w:r>
    </w:p>
    <w:p>
      <w:pPr>
        <w:pStyle w:val="11"/>
        <w:spacing w:line="360" w:lineRule="auto"/>
        <w:ind w:firstLine="480"/>
        <w:rPr>
          <w:rFonts w:hint="eastAsia" w:ascii="宋体" w:hAnsi="宋体" w:eastAsia="宋体" w:cs="宋体"/>
          <w:sz w:val="24"/>
          <w:szCs w:val="24"/>
        </w:rPr>
      </w:pPr>
      <w:r>
        <w:rPr>
          <w:rFonts w:hint="eastAsia" w:ascii="宋体" w:hAnsi="宋体" w:eastAsia="宋体" w:cs="宋体"/>
          <w:kern w:val="0"/>
          <w:sz w:val="24"/>
          <w:szCs w:val="24"/>
          <w:lang w:bidi="ar"/>
        </w:rPr>
        <w:t>6、项目验收结果合格的，</w:t>
      </w:r>
      <w:r>
        <w:rPr>
          <w:rFonts w:hint="eastAsia" w:ascii="宋体" w:hAnsi="宋体" w:eastAsia="宋体" w:cs="宋体"/>
          <w:sz w:val="24"/>
          <w:szCs w:val="24"/>
        </w:rPr>
        <w:t>供应商</w:t>
      </w:r>
      <w:r>
        <w:rPr>
          <w:rFonts w:hint="eastAsia" w:ascii="宋体" w:hAnsi="宋体" w:eastAsia="宋体" w:cs="宋体"/>
          <w:kern w:val="0"/>
          <w:sz w:val="24"/>
          <w:szCs w:val="24"/>
          <w:lang w:bidi="ar"/>
        </w:rPr>
        <w:t>凭验收合格证明书至履约保证金收取单位办理履约保证金的退付手续；验收结果不合格且拒不整改的，履约保证金将不予退还，也将不予支付采购资金，还将上报本项目同级财政部门按照政府采购法律法规等有关规定给予行政处罚或者以失信行为记入诚信档案.</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7、其他未尽事宜应严格按照《财政部关于进一步加强政府采购需求和履约验收管理的指导意见》（财库（2016）205号）的要求进行。</w:t>
      </w:r>
    </w:p>
    <w:p>
      <w:pPr>
        <w:widowControl/>
        <w:spacing w:line="360" w:lineRule="auto"/>
        <w:jc w:val="left"/>
        <w:rPr>
          <w:rFonts w:hint="eastAsia" w:ascii="宋体" w:hAnsi="宋体" w:eastAsia="宋体" w:cs="宋体"/>
          <w:b/>
          <w:bCs/>
          <w:kern w:val="0"/>
          <w:sz w:val="24"/>
          <w:szCs w:val="24"/>
          <w:lang w:bidi="ar"/>
        </w:rPr>
      </w:pPr>
      <w:r>
        <w:rPr>
          <w:rFonts w:hint="eastAsia" w:ascii="宋体" w:hAnsi="宋体" w:eastAsia="宋体" w:cs="宋体"/>
          <w:kern w:val="0"/>
          <w:sz w:val="24"/>
          <w:szCs w:val="24"/>
          <w:lang w:bidi="ar"/>
        </w:rPr>
        <w:t>（</w:t>
      </w:r>
      <w:r>
        <w:rPr>
          <w:rFonts w:hint="eastAsia" w:ascii="宋体" w:hAnsi="宋体" w:eastAsia="宋体" w:cs="宋体"/>
          <w:b/>
          <w:bCs/>
          <w:kern w:val="0"/>
          <w:sz w:val="24"/>
          <w:szCs w:val="24"/>
          <w:lang w:bidi="ar"/>
        </w:rPr>
        <w:t>七）违约责任</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1、采购人违约责任</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（1） 采购人无正当理由拒收货物的，采购人应偿付合同总价百分</w:t>
      </w:r>
      <w:r>
        <w:rPr>
          <w:rFonts w:hint="eastAsia" w:ascii="宋体" w:hAnsi="宋体" w:eastAsia="宋体" w:cs="宋体"/>
          <w:sz w:val="24"/>
          <w:szCs w:val="24"/>
          <w:u w:val="single"/>
        </w:rPr>
        <w:t>之10</w:t>
      </w:r>
      <w:r>
        <w:rPr>
          <w:rFonts w:hint="eastAsia" w:ascii="宋体" w:hAnsi="宋体" w:eastAsia="宋体" w:cs="宋体"/>
          <w:sz w:val="24"/>
          <w:szCs w:val="24"/>
        </w:rPr>
        <w:t>的违约金；</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（2） 采购人逾期支付货款的，除应及时付足货款外，应向供应商偿付欠款总额万分之</w:t>
      </w:r>
      <w:r>
        <w:rPr>
          <w:rFonts w:hint="eastAsia" w:ascii="宋体" w:hAnsi="宋体" w:eastAsia="宋体" w:cs="宋体"/>
          <w:sz w:val="24"/>
          <w:szCs w:val="24"/>
          <w:u w:val="single"/>
        </w:rPr>
        <w:t xml:space="preserve"> 5  </w:t>
      </w:r>
      <w:r>
        <w:rPr>
          <w:rFonts w:hint="eastAsia" w:ascii="宋体" w:hAnsi="宋体" w:eastAsia="宋体" w:cs="宋体"/>
          <w:sz w:val="24"/>
          <w:szCs w:val="24"/>
        </w:rPr>
        <w:t>/天的违约金；逾期付款超过</w:t>
      </w:r>
      <w:r>
        <w:rPr>
          <w:rFonts w:hint="eastAsia" w:ascii="宋体" w:hAnsi="宋体" w:eastAsia="宋体" w:cs="宋体"/>
          <w:sz w:val="24"/>
          <w:szCs w:val="24"/>
          <w:u w:val="single"/>
        </w:rPr>
        <w:t xml:space="preserve"> 30 </w:t>
      </w:r>
      <w:r>
        <w:rPr>
          <w:rFonts w:hint="eastAsia" w:ascii="宋体" w:hAnsi="宋体" w:eastAsia="宋体" w:cs="宋体"/>
          <w:sz w:val="24"/>
          <w:szCs w:val="24"/>
        </w:rPr>
        <w:t>天的，供应商有权终止合同；</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（3） 采购人偿付的违约金不足以弥补供应商损失的，还应按供应商损失尚未弥补的部分，支付赔偿金给供应商。</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2、供应商违约责任</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（1）供应商交付的货物质量不符合合同规定的，供应商应向采购人支付合同总价的百分之</w:t>
      </w:r>
      <w:r>
        <w:rPr>
          <w:rFonts w:hint="eastAsia" w:ascii="宋体" w:hAnsi="宋体" w:eastAsia="宋体" w:cs="宋体"/>
          <w:sz w:val="24"/>
          <w:szCs w:val="24"/>
          <w:u w:val="single"/>
        </w:rPr>
        <w:t xml:space="preserve"> 10 </w:t>
      </w:r>
      <w:r>
        <w:rPr>
          <w:rFonts w:hint="eastAsia" w:ascii="宋体" w:hAnsi="宋体" w:eastAsia="宋体" w:cs="宋体"/>
          <w:sz w:val="24"/>
          <w:szCs w:val="24"/>
        </w:rPr>
        <w:t>的违约金，并须在合同规定的交货时间内更换合格的货物给采购人，否则，视作供应商不能交付货物而违约，按本条本款下述第“（2）”项规定由供应商偿付违约赔偿金给采购人。</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（2）供应商不能交付货物或逾期交付货物而违约的，除应及时交足货物外，应向采购人偿付逾期交货部分货款总额的万分之</w:t>
      </w:r>
      <w:r>
        <w:rPr>
          <w:rFonts w:hint="eastAsia" w:ascii="宋体" w:hAnsi="宋体" w:eastAsia="宋体" w:cs="宋体"/>
          <w:sz w:val="24"/>
          <w:szCs w:val="24"/>
          <w:u w:val="single"/>
        </w:rPr>
        <w:t xml:space="preserve"> 5  </w:t>
      </w:r>
      <w:r>
        <w:rPr>
          <w:rFonts w:hint="eastAsia" w:ascii="宋体" w:hAnsi="宋体" w:eastAsia="宋体" w:cs="宋体"/>
          <w:sz w:val="24"/>
          <w:szCs w:val="24"/>
        </w:rPr>
        <w:t>/天的违约金；逾期交货超过30天，采购人有权终止合同，供应商则应按合同总价的百分之</w:t>
      </w:r>
      <w:r>
        <w:rPr>
          <w:rFonts w:hint="eastAsia" w:ascii="宋体" w:hAnsi="宋体" w:eastAsia="宋体" w:cs="宋体"/>
          <w:sz w:val="24"/>
          <w:szCs w:val="24"/>
          <w:u w:val="single"/>
        </w:rPr>
        <w:t xml:space="preserve"> 10 </w:t>
      </w:r>
      <w:r>
        <w:rPr>
          <w:rFonts w:hint="eastAsia" w:ascii="宋体" w:hAnsi="宋体" w:eastAsia="宋体" w:cs="宋体"/>
          <w:sz w:val="24"/>
          <w:szCs w:val="24"/>
        </w:rPr>
        <w:t>的款额向采购人偿付赔偿金，并须全额退还采购人已经付给供应商的货款及其利息。</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（3）供应商货物经采购人送交具有法定资格条件的质量技术监督机构检测后，如检测结果认定货物质量不符合本合同规定标准的，则视为供应商没有按时交货而违约，供应商须在</w:t>
      </w:r>
      <w:r>
        <w:rPr>
          <w:rFonts w:hint="eastAsia" w:ascii="宋体" w:hAnsi="宋体" w:eastAsia="宋体" w:cs="宋体"/>
          <w:sz w:val="24"/>
          <w:szCs w:val="24"/>
          <w:u w:val="single"/>
        </w:rPr>
        <w:t xml:space="preserve">  15 </w:t>
      </w:r>
      <w:r>
        <w:rPr>
          <w:rFonts w:hint="eastAsia" w:ascii="宋体" w:hAnsi="宋体" w:eastAsia="宋体" w:cs="宋体"/>
          <w:sz w:val="24"/>
          <w:szCs w:val="24"/>
        </w:rPr>
        <w:t>天内无条件更换合格的货物，如逾期不能更换合格的货物，采购人有权终止本合同，供应商应另付合同总价的百分之</w:t>
      </w:r>
      <w:r>
        <w:rPr>
          <w:rFonts w:hint="eastAsia" w:ascii="宋体" w:hAnsi="宋体" w:eastAsia="宋体" w:cs="宋体"/>
          <w:sz w:val="24"/>
          <w:szCs w:val="24"/>
          <w:u w:val="single"/>
        </w:rPr>
        <w:t xml:space="preserve"> 10  </w:t>
      </w:r>
      <w:r>
        <w:rPr>
          <w:rFonts w:hint="eastAsia" w:ascii="宋体" w:hAnsi="宋体" w:eastAsia="宋体" w:cs="宋体"/>
          <w:sz w:val="24"/>
          <w:szCs w:val="24"/>
        </w:rPr>
        <w:t>的赔偿金给采购人。</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4）供应商保证本合同货物的权利无瑕疵，包括货物所有权及知识产权等权利无瑕疵。如任何第三方经法院（或仲裁机构）裁决有权对上述货物主张权利或国家机关依法对货物进行没收查处的，供应商除应向采购人返还已收款项外，还应另按合同总价的百分之</w:t>
      </w:r>
      <w:r>
        <w:rPr>
          <w:rFonts w:hint="eastAsia" w:ascii="宋体" w:hAnsi="宋体" w:eastAsia="宋体" w:cs="宋体"/>
          <w:sz w:val="24"/>
          <w:szCs w:val="24"/>
          <w:u w:val="single"/>
        </w:rPr>
        <w:t xml:space="preserve"> 10  </w:t>
      </w:r>
      <w:r>
        <w:rPr>
          <w:rFonts w:hint="eastAsia" w:ascii="宋体" w:hAnsi="宋体" w:eastAsia="宋体" w:cs="宋体"/>
          <w:sz w:val="24"/>
          <w:szCs w:val="24"/>
        </w:rPr>
        <w:t>向采购人支付违约金并赔偿因此给采购人造成的一切损失。</w:t>
      </w:r>
    </w:p>
    <w:p>
      <w:pPr>
        <w:pStyle w:val="11"/>
        <w:spacing w:line="360" w:lineRule="auto"/>
        <w:ind w:firstLine="480"/>
        <w:rPr>
          <w:rFonts w:hint="eastAsia" w:ascii="宋体" w:hAnsi="宋体" w:eastAsia="宋体" w:cs="宋体"/>
          <w:sz w:val="24"/>
          <w:szCs w:val="24"/>
        </w:rPr>
      </w:pPr>
      <w:r>
        <w:rPr>
          <w:rFonts w:hint="eastAsia" w:ascii="宋体" w:hAnsi="宋体" w:eastAsia="宋体" w:cs="宋体"/>
          <w:sz w:val="24"/>
          <w:szCs w:val="24"/>
        </w:rPr>
        <w:t>（5）供应商偿付的违约金不足以弥补采购人损失的，还应按采购人损失尚未弥补的部分，支付赔偿金给采购人。</w:t>
      </w:r>
    </w:p>
    <w:p>
      <w:pPr>
        <w:widowControl/>
        <w:spacing w:line="360" w:lineRule="auto"/>
        <w:ind w:firstLine="480" w:firstLineChars="20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3、有下列情形之一的，当事人可以解除合同：</w:t>
      </w:r>
    </w:p>
    <w:p>
      <w:pPr>
        <w:widowControl/>
        <w:spacing w:line="360" w:lineRule="auto"/>
        <w:ind w:firstLine="480" w:firstLineChars="20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（1） 因不可抗力致使不能实现合同目的(由于非成交人或采购人原因，致使合同实质性条款无法实现的)；</w:t>
      </w:r>
    </w:p>
    <w:p>
      <w:pPr>
        <w:widowControl/>
        <w:spacing w:line="360" w:lineRule="auto"/>
        <w:ind w:firstLine="480" w:firstLineChars="20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 当事人一方迟延履行主要债务，经催告后在合理期限内仍未履行；</w:t>
      </w:r>
    </w:p>
    <w:p>
      <w:pPr>
        <w:widowControl/>
        <w:spacing w:line="360" w:lineRule="auto"/>
        <w:ind w:firstLine="480" w:firstLineChars="20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（3）当事人一方迟延履行债务或者有其他违约行为致使不能实现合同目的；</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lang w:bidi="ar"/>
        </w:rPr>
        <w:t>（4） 法律规定的其他情形。</w:t>
      </w:r>
    </w:p>
    <w:p>
      <w:pPr>
        <w:widowControl/>
        <w:spacing w:line="360" w:lineRule="auto"/>
        <w:jc w:val="left"/>
        <w:rPr>
          <w:rFonts w:hint="eastAsia" w:ascii="宋体" w:hAnsi="宋体" w:eastAsia="宋体" w:cs="宋体"/>
          <w:b/>
          <w:bCs/>
          <w:kern w:val="0"/>
          <w:sz w:val="24"/>
          <w:szCs w:val="24"/>
          <w:lang w:bidi="ar"/>
        </w:rPr>
      </w:pPr>
      <w:r>
        <w:rPr>
          <w:rFonts w:hint="eastAsia" w:ascii="宋体" w:hAnsi="宋体" w:eastAsia="宋体" w:cs="宋体"/>
          <w:b/>
          <w:bCs/>
          <w:kern w:val="0"/>
          <w:sz w:val="24"/>
          <w:szCs w:val="24"/>
          <w:lang w:bidi="ar"/>
        </w:rPr>
        <w:t>（八）解决争议的方法</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lang w:bidi="ar"/>
        </w:rPr>
        <w:t xml:space="preserve">1.因货物的质量问题发生争议，由采购人或其指定的第三方机构进行质量鉴定。货物符合标准的或不符合质量标准，鉴定费均由成交人承担。 </w:t>
      </w:r>
    </w:p>
    <w:p>
      <w:pPr>
        <w:widowControl/>
        <w:spacing w:line="360" w:lineRule="auto"/>
        <w:ind w:firstLine="480" w:firstLineChars="20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2.合同履行期间，若双方发生争议，可协商或由有关部门调解解决，协商或调解不成的，向项目所在地人民法院</w:t>
      </w:r>
      <w:r>
        <w:rPr>
          <w:rFonts w:hint="eastAsia" w:ascii="宋体" w:hAnsi="宋体" w:eastAsia="宋体" w:cs="宋体"/>
          <w:kern w:val="0"/>
          <w:sz w:val="24"/>
          <w:szCs w:val="24"/>
          <w:lang w:val="zh-CN" w:bidi="ar"/>
        </w:rPr>
        <w:t>提起诉讼。</w:t>
      </w:r>
    </w:p>
    <w:p>
      <w:pPr>
        <w:widowControl/>
        <w:spacing w:line="360" w:lineRule="auto"/>
        <w:jc w:val="left"/>
        <w:rPr>
          <w:rFonts w:hint="eastAsia" w:ascii="宋体" w:hAnsi="宋体" w:eastAsia="宋体" w:cs="宋体"/>
          <w:sz w:val="24"/>
          <w:szCs w:val="24"/>
        </w:rPr>
      </w:pPr>
      <w:r>
        <w:rPr>
          <w:rFonts w:hint="eastAsia" w:ascii="宋体" w:hAnsi="宋体" w:eastAsia="宋体" w:cs="宋体"/>
          <w:b/>
          <w:bCs/>
          <w:kern w:val="0"/>
          <w:sz w:val="24"/>
          <w:szCs w:val="24"/>
          <w:lang w:bidi="ar"/>
        </w:rPr>
        <w:t xml:space="preserve">（九）其他要求 </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lang w:bidi="ar"/>
        </w:rPr>
        <w:t>1.政府采购合同签订时间：成交人中标后，自中标通知书发出之日起10日内与采购单位签定政府采购合同。</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lang w:bidi="ar"/>
        </w:rPr>
        <w:t xml:space="preserve">2.采购人在项目执行过程中定期核对成交人提供完成项目所配备的人员数量及相关信息，对于未按照采购文件及投标响应要求执行或存在不合理的部分有权下达整改通知书，并要求成交人限期整改，并根据违约情况扣除履约保证金。 </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lang w:bidi="ar"/>
        </w:rPr>
        <w:t>3.成交人在项目执行过程中定期及时向采购人通告本项目供货的重大事项及其进度。</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lang w:bidi="ar"/>
        </w:rPr>
        <w:t>4.接受项目行业管理部门及政府有关部门的指导，接受采购人的监督。</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lang w:bidi="ar"/>
        </w:rPr>
        <w:t>5.成交人所提供的设备是经检验合格的全新正品。成交人不得以次充好，产品来源渠道必须合法，同时应根据国家有关规定、厂家服务承诺及采购单位的要求做好售后服务工作。成交人所提供的设备若发现有诸如数量、型号和外观尺寸与合同不符，或产生更换或补货等情形并导致工期延误，采购人有权根据合同有关条款的规定对因此造成的直接损失向成交人索赔。</w:t>
      </w:r>
    </w:p>
    <w:p>
      <w:pPr>
        <w:widowControl/>
        <w:spacing w:line="360" w:lineRule="auto"/>
        <w:jc w:val="left"/>
        <w:rPr>
          <w:rFonts w:hint="eastAsia" w:ascii="宋体" w:hAnsi="宋体" w:eastAsia="宋体" w:cs="宋体"/>
          <w:sz w:val="24"/>
          <w:szCs w:val="24"/>
        </w:rPr>
      </w:pPr>
      <w:r>
        <w:rPr>
          <w:rFonts w:hint="eastAsia" w:ascii="宋体" w:hAnsi="宋体" w:eastAsia="宋体" w:cs="宋体"/>
          <w:b/>
          <w:bCs/>
          <w:kern w:val="0"/>
          <w:sz w:val="24"/>
          <w:szCs w:val="24"/>
          <w:lang w:bidi="ar"/>
        </w:rPr>
        <w:t>注意：①本章带“</w:t>
      </w:r>
      <w:r>
        <w:rPr>
          <w:rFonts w:hint="eastAsia" w:ascii="宋体" w:hAnsi="宋体" w:eastAsia="宋体" w:cs="宋体"/>
          <w:spacing w:val="2"/>
          <w:sz w:val="24"/>
          <w:szCs w:val="24"/>
        </w:rPr>
        <w:t>▲</w:t>
      </w:r>
      <w:r>
        <w:rPr>
          <w:rFonts w:hint="eastAsia" w:ascii="宋体" w:hAnsi="宋体" w:eastAsia="宋体" w:cs="宋体"/>
          <w:b/>
          <w:bCs/>
          <w:kern w:val="0"/>
          <w:sz w:val="24"/>
          <w:szCs w:val="24"/>
          <w:lang w:bidi="ar"/>
        </w:rPr>
        <w:t>”号条款为实质性要求，投标人若未满足的，将被视为无效投标(如涉及)。</w:t>
      </w:r>
    </w:p>
    <w:p>
      <w:pPr>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25CFE"/>
    <w:multiLevelType w:val="singleLevel"/>
    <w:tmpl w:val="80E25CFE"/>
    <w:lvl w:ilvl="0" w:tentative="0">
      <w:start w:val="3"/>
      <w:numFmt w:val="chineseCounting"/>
      <w:suff w:val="nothing"/>
      <w:lvlText w:val="（%1）"/>
      <w:lvlJc w:val="left"/>
      <w:rPr>
        <w:rFonts w:hint="eastAsia"/>
      </w:rPr>
    </w:lvl>
  </w:abstractNum>
  <w:abstractNum w:abstractNumId="1">
    <w:nsid w:val="BE3D0C8A"/>
    <w:multiLevelType w:val="singleLevel"/>
    <w:tmpl w:val="BE3D0C8A"/>
    <w:lvl w:ilvl="0" w:tentative="0">
      <w:start w:val="1"/>
      <w:numFmt w:val="decimal"/>
      <w:suff w:val="nothing"/>
      <w:lvlText w:val="%1、"/>
      <w:lvlJc w:val="left"/>
      <w:pPr>
        <w:ind w:left="-60"/>
      </w:pPr>
    </w:lvl>
  </w:abstractNum>
  <w:abstractNum w:abstractNumId="2">
    <w:nsid w:val="C405582A"/>
    <w:multiLevelType w:val="singleLevel"/>
    <w:tmpl w:val="C405582A"/>
    <w:lvl w:ilvl="0" w:tentative="0">
      <w:start w:val="1"/>
      <w:numFmt w:val="decimal"/>
      <w:lvlText w:val="%1."/>
      <w:lvlJc w:val="left"/>
      <w:pPr>
        <w:ind w:left="425" w:hanging="425"/>
      </w:pPr>
      <w:rPr>
        <w:rFonts w:hint="default"/>
      </w:rPr>
    </w:lvl>
  </w:abstractNum>
  <w:abstractNum w:abstractNumId="3">
    <w:nsid w:val="21EEE502"/>
    <w:multiLevelType w:val="singleLevel"/>
    <w:tmpl w:val="21EEE502"/>
    <w:lvl w:ilvl="0" w:tentative="0">
      <w:start w:val="4"/>
      <w:numFmt w:val="chineseCounting"/>
      <w:suff w:val="nothing"/>
      <w:lvlText w:val="（%1）"/>
      <w:lvlJc w:val="left"/>
      <w:rPr>
        <w:rFonts w:hint="eastAsia"/>
      </w:rPr>
    </w:lvl>
  </w:abstractNum>
  <w:abstractNum w:abstractNumId="4">
    <w:nsid w:val="3C2DF78C"/>
    <w:multiLevelType w:val="singleLevel"/>
    <w:tmpl w:val="3C2DF78C"/>
    <w:lvl w:ilvl="0" w:tentative="0">
      <w:start w:val="1"/>
      <w:numFmt w:val="decimal"/>
      <w:suff w:val="nothing"/>
      <w:lvlText w:val="%1）"/>
      <w:lvlJc w:val="left"/>
    </w:lvl>
  </w:abstractNum>
  <w:abstractNum w:abstractNumId="5">
    <w:nsid w:val="4DC13723"/>
    <w:multiLevelType w:val="singleLevel"/>
    <w:tmpl w:val="4DC13723"/>
    <w:lvl w:ilvl="0" w:tentative="0">
      <w:start w:val="1"/>
      <w:numFmt w:val="decimal"/>
      <w:lvlText w:val="%1."/>
      <w:lvlJc w:val="left"/>
      <w:pPr>
        <w:ind w:left="425" w:hanging="425"/>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GM4ZGFhNjEyNzc0ZDc5NjQ3M2Q0YjlkZmIyOTAifQ=="/>
  </w:docVars>
  <w:rsids>
    <w:rsidRoot w:val="663D1286"/>
    <w:rsid w:val="663D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uiPriority w:val="39"/>
    <w:pPr>
      <w:tabs>
        <w:tab w:val="right" w:leader="dot" w:pos="9345"/>
      </w:tabs>
      <w:spacing w:before="120" w:after="120" w:line="620" w:lineRule="exact"/>
      <w:ind w:right="-105" w:rightChars="-50"/>
      <w:jc w:val="left"/>
    </w:pPr>
    <w:rPr>
      <w:b/>
      <w:bCs/>
      <w:caps/>
      <w:sz w:val="20"/>
      <w:szCs w:val="20"/>
    </w:rPr>
  </w:style>
  <w:style w:type="paragraph" w:customStyle="1" w:styleId="7">
    <w:name w:val="正文首行缩进两字符"/>
    <w:basedOn w:val="1"/>
    <w:qFormat/>
    <w:uiPriority w:val="0"/>
    <w:pPr>
      <w:spacing w:line="360" w:lineRule="auto"/>
      <w:ind w:firstLine="200" w:firstLineChars="200"/>
    </w:pPr>
  </w:style>
  <w:style w:type="paragraph" w:styleId="8">
    <w:name w:val="No Spacing"/>
    <w:qFormat/>
    <w:uiPriority w:val="0"/>
    <w:pPr>
      <w:adjustRightInd w:val="0"/>
      <w:snapToGrid w:val="0"/>
      <w:spacing w:line="240" w:lineRule="atLeast"/>
    </w:pPr>
    <w:rPr>
      <w:rFonts w:ascii="Calibri" w:hAnsi="Calibri" w:eastAsia="宋体" w:cs="Times New Roman"/>
      <w:sz w:val="24"/>
      <w:szCs w:val="22"/>
      <w:lang w:val="en-US" w:eastAsia="zh-CN" w:bidi="ar-SA"/>
    </w:rPr>
  </w:style>
  <w:style w:type="character" w:customStyle="1" w:styleId="9">
    <w:name w:val="图名 Char"/>
    <w:link w:val="10"/>
    <w:qFormat/>
    <w:uiPriority w:val="0"/>
    <w:rPr>
      <w:rFonts w:hint="eastAsia" w:ascii="Calibri" w:hAnsi="Calibri"/>
      <w:b/>
      <w:bCs/>
      <w:kern w:val="0"/>
      <w:sz w:val="20"/>
      <w:szCs w:val="21"/>
    </w:rPr>
  </w:style>
  <w:style w:type="paragraph" w:customStyle="1" w:styleId="10">
    <w:name w:val="图名"/>
    <w:basedOn w:val="1"/>
    <w:next w:val="1"/>
    <w:link w:val="9"/>
    <w:qFormat/>
    <w:uiPriority w:val="0"/>
    <w:pPr>
      <w:snapToGrid w:val="0"/>
      <w:spacing w:line="240" w:lineRule="atLeast"/>
      <w:jc w:val="center"/>
    </w:pPr>
    <w:rPr>
      <w:rFonts w:hint="eastAsia" w:ascii="Calibri" w:hAnsi="Calibri"/>
      <w:b/>
      <w:bCs/>
      <w:kern w:val="0"/>
      <w:sz w:val="20"/>
      <w:szCs w:val="21"/>
    </w:rPr>
  </w:style>
  <w:style w:type="paragraph" w:customStyle="1" w:styleId="11">
    <w:name w:val="样式 首行缩进:  2 字符"/>
    <w:basedOn w:val="1"/>
    <w:uiPriority w:val="0"/>
    <w:pPr>
      <w:spacing w:line="400" w:lineRule="exact"/>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2023-02-08T08:09:00Z</dcterms:created>
  <dc:creator>lifan </dc:creator>
  <cp:lastModifiedBy>lifan </cp:lastModifiedBy>
  <dcterms:modified xsi:type="dcterms:W3CDTF">2023-02-08T08:11:10Z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B97B5D4666B84872B5F8886901B2FDBB</vt:lpwstr>
  </property>
</Properties>
</file>