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仿宋" w:hAnsi="仿宋" w:eastAsia="仿宋"/>
          <w:sz w:val="36"/>
          <w:szCs w:val="36"/>
        </w:rPr>
      </w:pPr>
      <w:bookmarkStart w:id="0" w:name="_Toc94182815"/>
      <w:r>
        <w:rPr>
          <w:rFonts w:hint="eastAsia" w:ascii="仿宋" w:hAnsi="仿宋" w:eastAsia="仿宋"/>
          <w:sz w:val="36"/>
          <w:szCs w:val="36"/>
        </w:rPr>
        <w:t>第六章  招标项目技术、服务、政府采购合同内容条款及其他商务要求</w:t>
      </w:r>
      <w:bookmarkEnd w:id="0"/>
    </w:p>
    <w:p>
      <w:pPr>
        <w:ind w:firstLine="482" w:firstLineChars="200"/>
        <w:rPr>
          <w:rFonts w:ascii="仿宋" w:hAnsi="仿宋" w:eastAsia="仿宋"/>
          <w:b/>
          <w:sz w:val="24"/>
        </w:rPr>
      </w:pPr>
      <w:bookmarkStart w:id="1" w:name="_Toc217446094"/>
      <w:r>
        <w:rPr>
          <w:rFonts w:hint="eastAsia" w:ascii="仿宋" w:hAnsi="仿宋" w:eastAsia="仿宋"/>
          <w:b/>
          <w:sz w:val="24"/>
        </w:rPr>
        <w:t>前提：本章中标注“*”的条款为本项目的实质性条款，投标人不满足的，将按照无效投标处理。</w:t>
      </w:r>
    </w:p>
    <w:p>
      <w:pPr>
        <w:pStyle w:val="5"/>
        <w:spacing w:line="400" w:lineRule="exact"/>
        <w:ind w:firstLine="236" w:firstLineChars="98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（一）. 项目概述</w:t>
      </w:r>
      <w:bookmarkEnd w:id="1"/>
    </w:p>
    <w:p>
      <w:pPr>
        <w:pStyle w:val="6"/>
        <w:spacing w:line="400" w:lineRule="exact"/>
        <w:ind w:firstLine="480"/>
        <w:rPr>
          <w:rFonts w:ascii="仿宋" w:hAnsi="仿宋" w:eastAsia="仿宋"/>
          <w:bCs/>
          <w:sz w:val="24"/>
        </w:rPr>
      </w:pPr>
      <w:bookmarkStart w:id="2" w:name="_Toc217446095"/>
      <w:r>
        <w:rPr>
          <w:rFonts w:hint="eastAsia" w:ascii="仿宋" w:hAnsi="仿宋" w:eastAsia="仿宋"/>
          <w:bCs/>
          <w:sz w:val="24"/>
        </w:rPr>
        <w:t>1.项目</w:t>
      </w:r>
      <w:r>
        <w:rPr>
          <w:rFonts w:ascii="仿宋" w:hAnsi="仿宋" w:eastAsia="仿宋"/>
          <w:bCs/>
          <w:sz w:val="24"/>
        </w:rPr>
        <w:t>概况</w:t>
      </w:r>
      <w:r>
        <w:rPr>
          <w:rFonts w:hint="eastAsia" w:ascii="仿宋" w:hAnsi="仿宋" w:eastAsia="仿宋"/>
          <w:bCs/>
          <w:sz w:val="24"/>
        </w:rPr>
        <w:t>：</w:t>
      </w:r>
      <w:r>
        <w:rPr>
          <w:rFonts w:hint="eastAsia" w:ascii="仿宋" w:hAnsi="仿宋" w:eastAsia="仿宋"/>
          <w:bCs/>
          <w:sz w:val="24"/>
          <w:lang w:val="en-US" w:eastAsia="zh-CN"/>
        </w:rPr>
        <w:t>本项目共1个包，建设光明镇新联村新建太阳能路灯77盏，光明镇源泉村新建太阳能路灯60盏，光明镇四和村、幸福村新建太阳能路灯70盏。</w:t>
      </w:r>
    </w:p>
    <w:p>
      <w:pPr>
        <w:pStyle w:val="6"/>
        <w:spacing w:line="400" w:lineRule="exact"/>
        <w:ind w:firstLine="48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bCs/>
          <w:sz w:val="24"/>
        </w:rPr>
        <w:t>项目清单：</w:t>
      </w:r>
    </w:p>
    <w:tbl>
      <w:tblPr>
        <w:tblStyle w:val="9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1508"/>
        <w:gridCol w:w="1568"/>
        <w:gridCol w:w="1091"/>
        <w:gridCol w:w="982"/>
        <w:gridCol w:w="137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包号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标的名称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品目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分类编码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计量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数量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所属行业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路灯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A020619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3" w:name="_Toc324527749"/>
            <w:bookmarkStart w:id="4" w:name="_Toc323197531"/>
            <w:bookmarkStart w:id="5" w:name="RANGE!A347"/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照明设备</w:t>
            </w:r>
            <w:bookmarkEnd w:id="3"/>
            <w:bookmarkEnd w:id="4"/>
            <w:bookmarkEnd w:id="5"/>
          </w:p>
        </w:tc>
        <w:tc>
          <w:tcPr>
            <w:tcW w:w="109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207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工业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</w:tr>
    </w:tbl>
    <w:p>
      <w:pPr>
        <w:pStyle w:val="6"/>
        <w:spacing w:line="400" w:lineRule="exact"/>
        <w:rPr>
          <w:rFonts w:hint="eastAsia" w:ascii="仿宋" w:hAnsi="仿宋" w:eastAsia="仿宋"/>
          <w:bCs/>
          <w:sz w:val="24"/>
        </w:rPr>
      </w:pPr>
    </w:p>
    <w:p>
      <w:pPr>
        <w:pStyle w:val="5"/>
        <w:spacing w:line="400" w:lineRule="exact"/>
        <w:ind w:firstLine="236" w:firstLineChars="98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sz w:val="24"/>
        </w:rPr>
        <w:t>*</w:t>
      </w:r>
      <w:r>
        <w:rPr>
          <w:rFonts w:hint="eastAsia" w:ascii="仿宋" w:hAnsi="仿宋" w:eastAsia="仿宋"/>
          <w:sz w:val="24"/>
          <w:szCs w:val="24"/>
        </w:rPr>
        <w:t>（二）. 商务要求</w:t>
      </w:r>
    </w:p>
    <w:p>
      <w:pPr>
        <w:spacing w:line="50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1．交货期及地点</w:t>
      </w:r>
    </w:p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1.1 交货期：</w:t>
      </w:r>
      <w:r>
        <w:rPr>
          <w:rFonts w:hint="eastAsia" w:ascii="仿宋" w:hAnsi="仿宋" w:eastAsia="仿宋" w:cs="仿宋"/>
          <w:sz w:val="24"/>
          <w:lang w:val="en-US" w:eastAsia="zh-CN"/>
        </w:rPr>
        <w:t>签订合同后60日内完成交货、安装调试并验收。</w:t>
      </w:r>
    </w:p>
    <w:p>
      <w:pPr>
        <w:spacing w:line="52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1.2 交货地点: </w:t>
      </w:r>
      <w:r>
        <w:rPr>
          <w:rFonts w:hint="eastAsia" w:ascii="仿宋" w:hAnsi="仿宋" w:eastAsia="仿宋" w:cs="仿宋"/>
          <w:sz w:val="24"/>
          <w:lang w:val="en-US" w:eastAsia="zh-CN"/>
        </w:rPr>
        <w:t>采购人指定地点（光明镇新联村、源泉村、四合村、幸福村）。</w:t>
      </w:r>
    </w:p>
    <w:p>
      <w:pPr>
        <w:spacing w:line="50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2．付款方法和条件：</w:t>
      </w:r>
      <w:r>
        <w:rPr>
          <w:rFonts w:hint="eastAsia" w:ascii="仿宋" w:hAnsi="仿宋" w:eastAsia="仿宋" w:cs="仿宋"/>
          <w:sz w:val="24"/>
          <w:lang w:val="en-US" w:eastAsia="zh-CN"/>
        </w:rPr>
        <w:t>签订合同后，支付合同款总金额的40%，验收合格后，支付合同总金额的剩余60%。</w:t>
      </w:r>
    </w:p>
    <w:p>
      <w:pPr>
        <w:spacing w:line="500" w:lineRule="exact"/>
        <w:rPr>
          <w:rFonts w:ascii="仿宋" w:hAnsi="仿宋" w:eastAsia="仿宋"/>
          <w:bCs/>
          <w:sz w:val="24"/>
        </w:rPr>
      </w:pPr>
    </w:p>
    <w:p>
      <w:pPr>
        <w:pStyle w:val="5"/>
        <w:spacing w:line="400" w:lineRule="exact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3.安装调试及验收要求：</w:t>
      </w:r>
    </w:p>
    <w:p>
      <w:pPr>
        <w:pStyle w:val="5"/>
        <w:spacing w:line="400" w:lineRule="exact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3.1.货物到达生产现场后，中标人接到采购人通知后7日内到达现场组织安装、调试，达到正常运行要求，保证采购人正常使用。所需的费用包括在投标总价格中。</w:t>
      </w:r>
    </w:p>
    <w:p>
      <w:pPr>
        <w:pStyle w:val="5"/>
        <w:spacing w:line="400" w:lineRule="exact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3.2路灯基础地笼：路灯基础采用C20混凝土600*600*1000mm，基础预埋件主筋采用M18*800*4根钢筋制作。</w:t>
      </w:r>
    </w:p>
    <w:p>
      <w:pPr>
        <w:pStyle w:val="5"/>
        <w:spacing w:line="400" w:lineRule="exact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3.3.中标人应就设备的安装、调试、操作、维修、保养等对采购人维修技术人员进行培训。</w:t>
      </w:r>
    </w:p>
    <w:p>
      <w:pPr>
        <w:pStyle w:val="5"/>
        <w:spacing w:line="400" w:lineRule="exact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3.4.验收要求:验收标准为招标文件已作规定的货物规格及性能以及国家有关标准，严格按照政府采购相关法律法规以及《财政部关于进一步加强政府采购需求和履约验收管理的指导意见》(财库(2016)205号)的要求进行验收。</w:t>
      </w:r>
    </w:p>
    <w:p>
      <w:pPr>
        <w:pStyle w:val="5"/>
        <w:spacing w:line="400" w:lineRule="exact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4.安全要求：项目实施过程中的安全责任包括人身安全、财产安全等均由中标单位自行承担。</w:t>
      </w:r>
    </w:p>
    <w:p>
      <w:pPr>
        <w:pStyle w:val="5"/>
        <w:spacing w:line="400" w:lineRule="exact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5.售后要求</w:t>
      </w:r>
    </w:p>
    <w:p>
      <w:pPr>
        <w:pStyle w:val="5"/>
        <w:spacing w:line="400" w:lineRule="exact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 xml:space="preserve">5.1在质保期内，同一设备、同一质量问题连续两次维修仍无法正常使用的，须更换同品牌、同型号新设备，并对产品质量实行“三包”服务。在质保期外,提供设备的更换、维修只收取成本费用,不收取人工技术费用。 </w:t>
      </w:r>
    </w:p>
    <w:p>
      <w:pPr>
        <w:pStyle w:val="5"/>
        <w:spacing w:line="400" w:lineRule="exact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 xml:space="preserve">5.2在设备的设计使用寿命期内，投标人应能保证使用方更换到原厂正宗的零部件，确保设备的正常使用。 </w:t>
      </w:r>
    </w:p>
    <w:p>
      <w:pPr>
        <w:pStyle w:val="5"/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（三）.技术、服务要求</w:t>
      </w:r>
      <w:bookmarkEnd w:id="2"/>
    </w:p>
    <w:tbl>
      <w:tblPr>
        <w:tblStyle w:val="9"/>
        <w:tblW w:w="1064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213"/>
        <w:gridCol w:w="7929"/>
        <w:gridCol w:w="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产品  名称</w:t>
            </w:r>
          </w:p>
        </w:tc>
        <w:tc>
          <w:tcPr>
            <w:tcW w:w="7929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技术参数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1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</w:rPr>
              <w:t>灯杆及太阳能板支架</w:t>
            </w:r>
          </w:p>
        </w:tc>
        <w:tc>
          <w:tcPr>
            <w:tcW w:w="7929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1.灯杆造型需体现当地民族文化特色。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2.灯杆采用优质Q235钢材整体热镀锌制作，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3.灯杆总高度：7m；壁厚3.0mm</w:t>
            </w:r>
          </w:p>
          <w:p>
            <w:pPr>
              <w:widowControl/>
              <w:ind w:left="240" w:hanging="240" w:hangingChars="1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4.灯杆主体120mm*120方管；中间装饰筒200*200*1300方管，底筒3000*3000mm转200mm*200mm,高1.2M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激光切割工艺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5.灯杆支臂1.2m；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6.灯杆内外表面热镀锌处理，锌层厚度大于86μm；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7.灯杆外表面热镀锌后喷塑，塑层厚度大于100μm，表面光滑，不变色，使用寿命20年以上；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8.灯杆底部法兰，采用Q235钢材，280mm*280mm*16mm。</w:t>
            </w: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  <w:tab w:val="left" w:pos="720"/>
              </w:tabs>
              <w:spacing w:before="0" w:after="0" w:line="240" w:lineRule="auto"/>
              <w:rPr>
                <w:rFonts w:hint="default" w:ascii="仿宋" w:hAnsi="仿宋" w:eastAsia="仿宋" w:cs="仿宋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2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灯具（含光源）</w:t>
            </w:r>
          </w:p>
        </w:tc>
        <w:tc>
          <w:tcPr>
            <w:tcW w:w="7929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1.主光源：40w*2 LED模组光源，内透光PMMA灯罩。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2.LED副光源：10w LED模组光源。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3.光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≧128ml/w,色温5000k-6000k；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4.灯具防护等级≧IP65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3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太阳能板</w:t>
            </w:r>
          </w:p>
        </w:tc>
        <w:tc>
          <w:tcPr>
            <w:tcW w:w="792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1.单晶硅组件，采用高效单晶硅太阳能电池，采用高强度，高透光率；功率≧200w（100w*2），电压18伏；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2.转换效率≧18%，具有优良的弱光响应性能；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3.太阳能光伏连接器采用镀银接头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4.边框采用阳极氧化铝合金构成；配有标准支架系统，安装孔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组件由抗老化的EVA树脂和耐候性优良的TPT复合膜层压而成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3 \* GB3 \* MERGEFORMAT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5.防护等级≧IP67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3 \* GB3 \* MERGEFORMAT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6.使用寿命20年以上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8 \* GB3 \* MERGEFORMAT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= 9 \* GB3 \* MERGEFORMAT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4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</w:rPr>
              <w:t>储控一体化锂电池(含控制器）</w:t>
            </w:r>
          </w:p>
        </w:tc>
        <w:tc>
          <w:tcPr>
            <w:tcW w:w="792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1.磷酸铁锂电池，容量≧100Ah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.循环寿命：3C 100%DOD≧2000次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.太阳能路灯专用锂电智能控制单元，具有光控+多时段智能控制， MPPT最大功率点跟踪，蓝牙智能控制，智能电量管理，物联网智能控制，GPS远程定位等功能全天候工作，无人值守等功能。同时具有，具有调节点的设置、充满断开功能、欠压断开（LVD）功能、负载短路保护、极性反接保护、反向放电保护、耐冲击电压、耐冲击电流功能以及控制器保护功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.采用标准接头，具有防反接和防接错等功能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.防护等级≧IP67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.工作环境温度：-20℃~+55℃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pStyle w:val="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.全年亮灯。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645"/>
              </w:tabs>
              <w:spacing w:before="0" w:after="0" w:line="240" w:lineRule="auto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lang w:val="en-US" w:eastAsia="zh-CN"/>
              </w:rPr>
              <w:t>工业</w:t>
            </w:r>
          </w:p>
        </w:tc>
      </w:tr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09A3"/>
    <w:multiLevelType w:val="multilevel"/>
    <w:tmpl w:val="369709A3"/>
    <w:lvl w:ilvl="0" w:tentative="0">
      <w:start w:val="1"/>
      <w:numFmt w:val="decimal"/>
      <w:pStyle w:val="11"/>
      <w:lvlText w:val="%1."/>
      <w:lvlJc w:val="left"/>
      <w:pPr>
        <w:tabs>
          <w:tab w:val="left" w:pos="960"/>
        </w:tabs>
        <w:ind w:left="970" w:hanging="430"/>
      </w:pPr>
      <w:rPr>
        <w:rFonts w:hint="eastAsia"/>
        <w:color w:val="000000"/>
      </w:rPr>
    </w:lvl>
    <w:lvl w:ilvl="1" w:tentative="0">
      <w:start w:val="1"/>
      <w:numFmt w:val="decimal"/>
      <w:lvlText w:val="%1.%2"/>
      <w:lvlJc w:val="left"/>
      <w:pPr>
        <w:tabs>
          <w:tab w:val="left" w:pos="1409"/>
        </w:tabs>
        <w:ind w:left="1409" w:hanging="700"/>
      </w:pPr>
      <w:rPr>
        <w:rFonts w:hint="eastAsia" w:ascii="宋体" w:hAnsi="宋体" w:eastAsia="宋体"/>
        <w:b w:val="0"/>
        <w:color w:val="000000"/>
        <w:lang w:val="en-GB"/>
      </w:rPr>
    </w:lvl>
    <w:lvl w:ilvl="2" w:tentative="0">
      <w:start w:val="1"/>
      <w:numFmt w:val="decimal"/>
      <w:lvlText w:val="%1.%2.%3"/>
      <w:lvlJc w:val="left"/>
      <w:pPr>
        <w:tabs>
          <w:tab w:val="left" w:pos="1567"/>
        </w:tabs>
        <w:ind w:left="1567" w:hanging="100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984" w:hanging="198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  <w:style w:type="paragraph" w:styleId="6">
    <w:name w:val="Normal Indent"/>
    <w:basedOn w:val="1"/>
    <w:qFormat/>
    <w:uiPriority w:val="0"/>
    <w:pPr>
      <w:ind w:firstLine="200" w:firstLineChars="200"/>
    </w:p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customStyle="1" w:styleId="11">
    <w:name w:val="(符号)三标题1.1"/>
    <w:basedOn w:val="1"/>
    <w:next w:val="7"/>
    <w:qFormat/>
    <w:uiPriority w:val="0"/>
    <w:pPr>
      <w:numPr>
        <w:ilvl w:val="0"/>
        <w:numId w:val="1"/>
      </w:numPr>
      <w:spacing w:before="140" w:after="140" w:line="500" w:lineRule="exact"/>
      <w:outlineLvl w:val="2"/>
    </w:pPr>
    <w:rPr>
      <w:rFonts w:ascii="楷体_GB2312" w:hAnsi="宋体" w:eastAsia="楷体_GB2312" w:cs="宋体"/>
      <w:b/>
      <w:bCs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2023-04-03T02:35:57Z</dcterms:created>
  <dc:creator>Administrator</dc:creator>
  <cp:lastModifiedBy>Administrator</cp:lastModifiedBy>
  <dcterms:modified xsi:type="dcterms:W3CDTF">2023-04-03T02:36:29Z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