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line="360" w:lineRule="auto"/>
        <w:ind w:left="2182"/>
        <w:rPr>
          <w:rFonts w:hint="eastAsia" w:ascii="宋体" w:hAnsi="宋体" w:cs="宋体"/>
          <w:b w:val="0"/>
        </w:rPr>
      </w:pPr>
      <w:r>
        <w:rPr>
          <w:rFonts w:hint="eastAsia" w:ascii="宋体" w:hAnsi="宋体" w:cs="宋体"/>
          <w:lang w:val="en-US" w:eastAsia="zh-CN"/>
        </w:rPr>
        <w:t>采购需</w:t>
      </w:r>
      <w:r>
        <w:rPr>
          <w:rFonts w:hint="eastAsia" w:ascii="宋体" w:hAnsi="宋体" w:cs="宋体"/>
        </w:rPr>
        <w:t>求</w:t>
      </w:r>
    </w:p>
    <w:p>
      <w:pPr>
        <w:pStyle w:val="5"/>
        <w:spacing w:before="120" w:after="120" w:line="360" w:lineRule="auto"/>
        <w:rPr>
          <w:rFonts w:hint="eastAsia" w:ascii="宋体" w:hAnsi="宋体" w:cs="宋体"/>
        </w:rPr>
      </w:pPr>
      <w:r>
        <w:rPr>
          <w:rFonts w:hint="eastAsia" w:ascii="宋体" w:hAnsi="宋体" w:cs="宋体"/>
        </w:rPr>
        <w:t>一、总说明</w:t>
      </w:r>
    </w:p>
    <w:p>
      <w:pPr>
        <w:spacing w:line="360" w:lineRule="auto"/>
        <w:ind w:firstLine="480" w:firstLineChars="200"/>
        <w:rPr>
          <w:rFonts w:hint="eastAsia" w:ascii="宋体" w:hAnsi="宋体" w:cs="宋体"/>
          <w:sz w:val="24"/>
        </w:rPr>
      </w:pPr>
      <w:r>
        <w:rPr>
          <w:rFonts w:hint="eastAsia" w:ascii="宋体" w:hAnsi="宋体" w:cs="宋体"/>
          <w:sz w:val="24"/>
        </w:rPr>
        <w:t>1.本章标注“*”条款为实质性要求，不允许负偏离，否则投标无效。针对“*”条款，招标文件已要求提供证明材料的，按照要求提供；未要求提供证明材料的，投标人可以以应答或承诺方式响应，也可提供证明材料佐证。</w:t>
      </w:r>
    </w:p>
    <w:p>
      <w:pPr>
        <w:spacing w:line="360" w:lineRule="auto"/>
        <w:ind w:firstLine="480" w:firstLineChars="200"/>
        <w:rPr>
          <w:rFonts w:hint="eastAsia" w:ascii="宋体" w:hAnsi="宋体" w:cs="宋体"/>
          <w:sz w:val="24"/>
        </w:rPr>
      </w:pPr>
      <w:r>
        <w:rPr>
          <w:rFonts w:hint="eastAsia" w:ascii="宋体" w:hAnsi="宋体" w:cs="宋体"/>
          <w:sz w:val="24"/>
        </w:rPr>
        <w:t>2.“▲”条款为重要参数，不满足的将被扣分。</w:t>
      </w:r>
    </w:p>
    <w:p>
      <w:pPr>
        <w:pStyle w:val="5"/>
        <w:spacing w:before="120" w:after="120" w:line="360" w:lineRule="auto"/>
        <w:rPr>
          <w:rFonts w:hint="eastAsia" w:ascii="宋体" w:hAnsi="宋体" w:cs="宋体"/>
        </w:rPr>
      </w:pPr>
      <w:r>
        <w:rPr>
          <w:rFonts w:hint="eastAsia" w:ascii="宋体" w:hAnsi="宋体" w:cs="宋体"/>
        </w:rPr>
        <w:t>二、采购清单及参数要求</w:t>
      </w:r>
    </w:p>
    <w:p>
      <w:pPr>
        <w:pStyle w:val="5"/>
        <w:spacing w:before="120" w:after="120"/>
        <w:rPr>
          <w:rFonts w:hint="eastAsia" w:ascii="宋体" w:hAnsi="宋体" w:cs="宋体"/>
        </w:rPr>
      </w:pPr>
      <w:r>
        <w:rPr>
          <w:rFonts w:hint="eastAsia" w:ascii="宋体" w:hAnsi="宋体" w:cs="宋体"/>
        </w:rPr>
        <w:t>*（一）采购清单</w:t>
      </w:r>
    </w:p>
    <w:tbl>
      <w:tblPr>
        <w:tblStyle w:val="6"/>
        <w:tblW w:w="8990" w:type="dxa"/>
        <w:jc w:val="center"/>
        <w:tblLayout w:type="fixed"/>
        <w:tblCellMar>
          <w:top w:w="0" w:type="dxa"/>
          <w:left w:w="108" w:type="dxa"/>
          <w:bottom w:w="0" w:type="dxa"/>
          <w:right w:w="108" w:type="dxa"/>
        </w:tblCellMar>
      </w:tblPr>
      <w:tblGrid>
        <w:gridCol w:w="769"/>
        <w:gridCol w:w="825"/>
        <w:gridCol w:w="2988"/>
        <w:gridCol w:w="875"/>
        <w:gridCol w:w="922"/>
        <w:gridCol w:w="1385"/>
        <w:gridCol w:w="1226"/>
      </w:tblGrid>
      <w:tr>
        <w:tblPrEx>
          <w:tblCellMar>
            <w:top w:w="0" w:type="dxa"/>
            <w:left w:w="108" w:type="dxa"/>
            <w:bottom w:w="0" w:type="dxa"/>
            <w:right w:w="108" w:type="dxa"/>
          </w:tblCellMar>
        </w:tblPrEx>
        <w:trPr>
          <w:trHeight w:val="855" w:hRule="atLeast"/>
          <w:jc w:val="center"/>
        </w:trPr>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包号</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标的名称</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单位</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数量</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ascii="宋体" w:hAnsi="宋体" w:cs="宋体"/>
                <w:color w:val="000000"/>
                <w:kern w:val="0"/>
                <w:sz w:val="24"/>
                <w:lang w:bidi="ar"/>
              </w:rPr>
              <w:t>最高限价</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（万元）</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是否允许进口</w:t>
            </w:r>
          </w:p>
        </w:tc>
      </w:tr>
      <w:tr>
        <w:tblPrEx>
          <w:tblCellMar>
            <w:top w:w="0" w:type="dxa"/>
            <w:left w:w="108" w:type="dxa"/>
            <w:bottom w:w="0" w:type="dxa"/>
            <w:right w:w="108" w:type="dxa"/>
          </w:tblCellMar>
        </w:tblPrEx>
        <w:trPr>
          <w:trHeight w:val="56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1</w:t>
            </w:r>
            <w:bookmarkStart w:id="2" w:name="_GoBack"/>
            <w:bookmarkEnd w:id="2"/>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舌下微循环成像系统</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台</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44.6</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否</w:t>
            </w:r>
          </w:p>
        </w:tc>
      </w:tr>
    </w:tbl>
    <w:p>
      <w:pPr>
        <w:pStyle w:val="5"/>
        <w:spacing w:before="120" w:after="120"/>
        <w:rPr>
          <w:rFonts w:hint="eastAsia" w:ascii="宋体" w:hAnsi="宋体" w:cs="宋体"/>
        </w:rPr>
      </w:pPr>
      <w:r>
        <w:rPr>
          <w:rFonts w:hint="eastAsia" w:ascii="宋体" w:hAnsi="宋体" w:cs="宋体"/>
        </w:rPr>
        <w:t>（二）参数要求</w:t>
      </w:r>
    </w:p>
    <w:p>
      <w:pPr>
        <w:spacing w:before="120" w:beforeLines="50" w:after="120" w:afterLines="50"/>
        <w:jc w:val="center"/>
        <w:outlineLvl w:val="2"/>
        <w:rPr>
          <w:rFonts w:hint="eastAsia" w:ascii="宋体" w:hAnsi="宋体" w:cs="宋体"/>
          <w:b/>
          <w:bCs/>
          <w:sz w:val="24"/>
        </w:rPr>
      </w:pPr>
      <w:r>
        <w:rPr>
          <w:rFonts w:hint="eastAsia" w:ascii="宋体" w:hAnsi="宋体" w:cs="宋体"/>
          <w:b/>
          <w:bCs/>
          <w:sz w:val="24"/>
          <w:lang w:eastAsia="zh-CN"/>
        </w:rPr>
        <w:t>第3包</w:t>
      </w:r>
      <w:r>
        <w:rPr>
          <w:rFonts w:hint="eastAsia" w:ascii="宋体" w:hAnsi="宋体" w:cs="宋体"/>
          <w:b/>
          <w:bCs/>
          <w:sz w:val="24"/>
        </w:rPr>
        <w:t xml:space="preserve">  舌下微循环成像系统</w:t>
      </w:r>
    </w:p>
    <w:p>
      <w:pPr>
        <w:pStyle w:val="3"/>
        <w:numPr>
          <w:ilvl w:val="0"/>
          <w:numId w:val="1"/>
        </w:numPr>
        <w:spacing w:line="360" w:lineRule="auto"/>
        <w:ind w:left="425" w:hanging="425" w:firstLineChars="0"/>
        <w:rPr>
          <w:rFonts w:hint="eastAsia" w:ascii="宋体" w:hAnsi="宋体" w:eastAsia="宋体" w:cs="Arial"/>
          <w:sz w:val="21"/>
          <w:szCs w:val="18"/>
        </w:rPr>
      </w:pPr>
      <w:bookmarkStart w:id="0" w:name="_bookmark76"/>
      <w:bookmarkEnd w:id="0"/>
      <w:bookmarkStart w:id="1" w:name="_bookmark79"/>
      <w:bookmarkEnd w:id="1"/>
      <w:r>
        <w:rPr>
          <w:rFonts w:hint="eastAsia" w:ascii="宋体" w:hAnsi="宋体" w:eastAsia="宋体" w:cs="Arial"/>
          <w:sz w:val="21"/>
          <w:szCs w:val="18"/>
        </w:rPr>
        <w:t>用途：适用于观察舌下微循环，对舌下组织内微循环的红细胞流动情况进行放大观察；</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产品由微循环成像硬件、软件与一次性镜片组成；</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光源：LED灯持续照明，波长最大值≤530nm，最小值≥510nm；</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▲光源封装在手柄内，采用光纤导光到探头前端（提供实物拆解视频）；</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光源入射成角度聚焦照明，具有将光定向折射入视场的装置；</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▲产品视场中心分辨率≥140LP/mm，且视场中心和视场边缘分辨率一致；（投标机型产品注册检测报告证明）；</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CCD分辨率≥600×400；</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▲录像帧率≥30帧/秒；</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▲光学放大倍率≥4倍；</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手柄主体：宽度≤46mm，高度≤46mm；</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手柄探头：探头可伸入口腔的长度≥88mm；</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▲亮度自适应，手柄无亮度调节旋钮，以减少操作步骤；（提供手柄不同角度外观照片和视频证明）；</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软件采用模拟床位号的模块化设计，可设置床位数量、病人信息，以及自动标记每一床位的上次采集时间；</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软件截图能将4秒视频分解成10张以上图片，用于判断视频画面稳定情况；</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软件可对血管自动识别，将血管自动分类大、中、小血管，并自动计算出各类血管长度与直径；</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软件可根据临床需要出具临床报告和研究报告，研究报告界面具有小血管和所有血管的De Backer评分、总血管密度TVD、灌注血管密度PVD、灌注血管比例PPV等参数；</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软件具有病例对比功能，提供患者的微循环图像、动图及报告的同屏对比；</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软件具有趋势图功能，可选择同一患者3-10个采集数据，按照采集时间生成趋势图，趋势图横坐标为时间参数，纵坐标为微循环流动性、异质性、密度性等指标参数，不同指标采用不同颜色和图标区分，可保存及打印趋势图；提供软件截图证明；</w:t>
      </w:r>
    </w:p>
    <w:p>
      <w:pPr>
        <w:pStyle w:val="3"/>
        <w:numPr>
          <w:ilvl w:val="0"/>
          <w:numId w:val="1"/>
        </w:numPr>
        <w:spacing w:line="360" w:lineRule="auto"/>
        <w:ind w:left="425" w:hanging="425" w:firstLineChars="0"/>
        <w:rPr>
          <w:rFonts w:hint="eastAsia" w:ascii="宋体" w:hAnsi="宋体" w:eastAsia="宋体" w:cs="Arial"/>
          <w:sz w:val="21"/>
          <w:szCs w:val="18"/>
        </w:rPr>
      </w:pPr>
      <w:r>
        <w:rPr>
          <w:rFonts w:hint="eastAsia" w:ascii="宋体" w:hAnsi="宋体" w:eastAsia="宋体" w:cs="Arial"/>
          <w:sz w:val="21"/>
          <w:szCs w:val="18"/>
        </w:rPr>
        <w:t>一体式工作站配有触摸屏和可拆卸内置备用电池，备用电池槽数量≥2个，能在断电等恶劣情况下保持正常工作状态</w:t>
      </w:r>
      <w:r>
        <w:rPr>
          <w:rFonts w:hint="eastAsia" w:ascii="宋体" w:hAnsi="宋体" w:eastAsia="宋体" w:cs="Arial"/>
          <w:sz w:val="21"/>
          <w:szCs w:val="18"/>
          <w:lang w:eastAsia="zh-CN"/>
        </w:rPr>
        <w:t>。</w:t>
      </w:r>
    </w:p>
    <w:p>
      <w:pPr>
        <w:pStyle w:val="5"/>
        <w:spacing w:before="120" w:after="120" w:line="360" w:lineRule="auto"/>
        <w:rPr>
          <w:rFonts w:hint="eastAsia" w:ascii="宋体" w:hAnsi="宋体" w:cs="宋体"/>
        </w:rPr>
      </w:pPr>
      <w:r>
        <w:rPr>
          <w:rFonts w:hint="eastAsia" w:ascii="宋体" w:hAnsi="宋体" w:cs="宋体"/>
        </w:rPr>
        <w:t>*三、商务要求（以下内容除单独列明外，其余条款适用于所有包段）</w:t>
      </w:r>
    </w:p>
    <w:p>
      <w:pPr>
        <w:pStyle w:val="8"/>
        <w:ind w:left="420" w:firstLine="0" w:firstLineChars="0"/>
        <w:outlineLvl w:val="2"/>
        <w:rPr>
          <w:rFonts w:hint="eastAsia" w:ascii="宋体" w:hAnsi="宋体" w:cs="宋体"/>
          <w:bCs/>
          <w:kern w:val="0"/>
          <w:sz w:val="24"/>
          <w:szCs w:val="22"/>
        </w:rPr>
      </w:pPr>
      <w:r>
        <w:rPr>
          <w:rFonts w:hint="eastAsia" w:ascii="宋体" w:hAnsi="宋体" w:cs="宋体"/>
          <w:bCs/>
          <w:kern w:val="0"/>
          <w:sz w:val="24"/>
          <w:szCs w:val="22"/>
        </w:rPr>
        <w:t>1.付款方式：投标人须在合同签订生效之日起的7个工作日内，按合同总价10%支付履约保证金，安装调试并经采购人验收合格后，投标人须向采购人出具合法有效完整的完税发票及凭证资料进行支付结算（如采购项目涉及进口设备需提供商检证明），采购人支付合同总价的100%货款给投标人。</w:t>
      </w:r>
    </w:p>
    <w:p>
      <w:pPr>
        <w:pStyle w:val="8"/>
        <w:ind w:left="420" w:firstLine="0" w:firstLineChars="0"/>
        <w:outlineLvl w:val="2"/>
        <w:rPr>
          <w:rFonts w:hint="eastAsia" w:ascii="宋体" w:hAnsi="宋体" w:cs="宋体"/>
          <w:bCs/>
          <w:kern w:val="0"/>
          <w:sz w:val="24"/>
          <w:szCs w:val="22"/>
        </w:rPr>
      </w:pPr>
      <w:r>
        <w:rPr>
          <w:rFonts w:hint="eastAsia" w:ascii="宋体" w:hAnsi="宋体" w:cs="宋体"/>
          <w:bCs/>
          <w:kern w:val="0"/>
          <w:sz w:val="24"/>
          <w:szCs w:val="22"/>
        </w:rPr>
        <w:t>2.履约保证金的退还：货物自验收合格之日满1年，采购人接到投标人付款申请后30个工作日内，采购人一次性无息退还投标人的履约保证金。</w:t>
      </w:r>
    </w:p>
    <w:p>
      <w:pPr>
        <w:pStyle w:val="8"/>
        <w:ind w:left="420" w:firstLine="0" w:firstLineChars="0"/>
        <w:outlineLvl w:val="2"/>
        <w:rPr>
          <w:rFonts w:hint="eastAsia" w:ascii="宋体" w:hAnsi="宋体" w:cs="宋体"/>
          <w:bCs/>
          <w:kern w:val="0"/>
          <w:sz w:val="24"/>
          <w:szCs w:val="22"/>
        </w:rPr>
      </w:pPr>
      <w:r>
        <w:rPr>
          <w:rFonts w:hint="eastAsia" w:ascii="宋体" w:hAnsi="宋体" w:cs="宋体"/>
          <w:bCs/>
          <w:kern w:val="0"/>
          <w:sz w:val="24"/>
          <w:szCs w:val="22"/>
        </w:rPr>
        <w:t>3.交货时间：合同签订后45日内,</w:t>
      </w:r>
      <w:r>
        <w:rPr>
          <w:sz w:val="24"/>
          <w:szCs w:val="18"/>
        </w:rPr>
        <w:t>投标人须将所有货物运抵现场安装调试完毕并交付采购人验收，具体时间可由双方在合同中约定</w:t>
      </w:r>
      <w:r>
        <w:rPr>
          <w:rFonts w:hint="eastAsia" w:ascii="宋体" w:hAnsi="宋体" w:cs="宋体"/>
          <w:bCs/>
          <w:kern w:val="0"/>
          <w:sz w:val="24"/>
          <w:szCs w:val="22"/>
        </w:rPr>
        <w:t>。</w:t>
      </w:r>
    </w:p>
    <w:p>
      <w:pPr>
        <w:pStyle w:val="8"/>
        <w:ind w:left="420" w:firstLine="0" w:firstLineChars="0"/>
        <w:outlineLvl w:val="2"/>
        <w:rPr>
          <w:rFonts w:hint="eastAsia" w:ascii="宋体" w:hAnsi="宋体" w:cs="宋体"/>
          <w:bCs/>
          <w:kern w:val="0"/>
          <w:sz w:val="24"/>
          <w:szCs w:val="22"/>
        </w:rPr>
      </w:pPr>
      <w:r>
        <w:rPr>
          <w:rFonts w:hint="eastAsia" w:ascii="宋体" w:hAnsi="宋体" w:cs="宋体"/>
          <w:bCs/>
          <w:kern w:val="0"/>
          <w:sz w:val="24"/>
          <w:szCs w:val="22"/>
        </w:rPr>
        <w:t>4.由于投标人的原因未能按时供货的，每拖延一天，须向采购人支付合同总额千分之三的违约金；如超过供货期90天，采购人有权解除合同，履约保证金不予退还。</w:t>
      </w:r>
    </w:p>
    <w:p>
      <w:pPr>
        <w:pStyle w:val="8"/>
        <w:ind w:left="420" w:firstLine="0" w:firstLineChars="0"/>
        <w:outlineLvl w:val="2"/>
        <w:rPr>
          <w:rFonts w:hint="eastAsia" w:ascii="宋体" w:hAnsi="宋体" w:cs="宋体"/>
          <w:bCs/>
          <w:kern w:val="0"/>
          <w:sz w:val="24"/>
          <w:szCs w:val="22"/>
        </w:rPr>
      </w:pPr>
      <w:r>
        <w:rPr>
          <w:rFonts w:hint="eastAsia" w:ascii="宋体" w:hAnsi="宋体" w:cs="宋体"/>
          <w:bCs/>
          <w:kern w:val="0"/>
          <w:sz w:val="24"/>
          <w:szCs w:val="22"/>
        </w:rPr>
        <w:t>5.交货地点：四川省人民医院。</w:t>
      </w:r>
    </w:p>
    <w:p>
      <w:pPr>
        <w:pStyle w:val="8"/>
        <w:ind w:left="420" w:firstLine="0" w:firstLineChars="0"/>
        <w:outlineLvl w:val="2"/>
        <w:rPr>
          <w:rFonts w:hint="eastAsia" w:ascii="宋体" w:hAnsi="宋体" w:cs="宋体"/>
          <w:bCs/>
          <w:kern w:val="0"/>
          <w:sz w:val="24"/>
          <w:szCs w:val="22"/>
        </w:rPr>
      </w:pPr>
      <w:r>
        <w:rPr>
          <w:rFonts w:hint="eastAsia" w:ascii="宋体" w:hAnsi="宋体" w:cs="宋体"/>
          <w:bCs/>
          <w:kern w:val="0"/>
          <w:sz w:val="24"/>
          <w:szCs w:val="22"/>
        </w:rPr>
        <w:t>6.售后服务</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6.1送货上门、安装、调试，并试运行。</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6.2提供培训。保证受训人员能熟练操作，并对该设备能进行日常维护，如未达到，医院有权延后支付合同所约定之付款。</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6.3质保期</w:t>
      </w:r>
      <w:r>
        <w:rPr>
          <w:sz w:val="24"/>
          <w:szCs w:val="18"/>
        </w:rPr>
        <w:t>（含整机所有部件）</w:t>
      </w:r>
      <w:r>
        <w:rPr>
          <w:rFonts w:hint="eastAsia" w:ascii="宋体" w:hAnsi="宋体" w:cs="宋体"/>
          <w:bCs/>
          <w:kern w:val="0"/>
          <w:sz w:val="24"/>
          <w:szCs w:val="22"/>
        </w:rPr>
        <w:t>：验收合格后至少3年。</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6.4如货物在质保期内出现质量问题，投标人须在接到通知后12小时内响应，48小时内到场维修，或以合同约定为准，并承担相关费用；如质保期内货物经投标人两次维修仍不能达到国家相关质量标准，采购人有权更换全新货物、退货并追究投标人违约责任。</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6.5维修期间，根据采购人需要，提供备用设备。</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6.6投标人须指派专人负责与采购人联系售后服务事宜。</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6.7整机含所有部件（质保期内涉及维修、产品更换、人工费用等一切费用包含在此次报价中）</w:t>
      </w:r>
    </w:p>
    <w:p>
      <w:pPr>
        <w:pStyle w:val="8"/>
        <w:ind w:left="420" w:firstLine="0" w:firstLineChars="0"/>
        <w:outlineLvl w:val="2"/>
        <w:rPr>
          <w:rFonts w:hint="eastAsia" w:ascii="宋体" w:hAnsi="宋体" w:cs="宋体"/>
          <w:bCs/>
          <w:kern w:val="0"/>
          <w:sz w:val="24"/>
          <w:szCs w:val="22"/>
        </w:rPr>
      </w:pPr>
      <w:r>
        <w:rPr>
          <w:rFonts w:hint="eastAsia" w:ascii="宋体" w:hAnsi="宋体" w:cs="宋体"/>
          <w:bCs/>
          <w:kern w:val="0"/>
          <w:sz w:val="24"/>
          <w:szCs w:val="22"/>
        </w:rPr>
        <w:t>7.验收</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7.1验收交付标准和方法：</w:t>
      </w:r>
    </w:p>
    <w:p>
      <w:pPr>
        <w:pStyle w:val="8"/>
        <w:ind w:left="420" w:firstLine="480"/>
        <w:rPr>
          <w:rFonts w:hint="eastAsia" w:ascii="宋体" w:hAnsi="宋体" w:cs="宋体"/>
          <w:bCs/>
          <w:kern w:val="0"/>
          <w:sz w:val="24"/>
          <w:szCs w:val="22"/>
        </w:rPr>
      </w:pPr>
      <w:r>
        <w:rPr>
          <w:rFonts w:hint="eastAsia" w:ascii="宋体" w:hAnsi="宋体" w:cs="宋体"/>
          <w:bCs/>
          <w:kern w:val="0"/>
          <w:sz w:val="24"/>
          <w:szCs w:val="22"/>
        </w:rPr>
        <w:t>7.1.1按国家有关规定以及招标文件的质量要求和技术指标、中标人的响应投标文件及承诺与合同约定标准进行验收；</w:t>
      </w:r>
    </w:p>
    <w:p>
      <w:pPr>
        <w:pStyle w:val="8"/>
        <w:ind w:left="420" w:firstLine="480"/>
        <w:rPr>
          <w:rFonts w:hint="eastAsia" w:ascii="宋体" w:hAnsi="宋体" w:cs="宋体"/>
          <w:bCs/>
          <w:kern w:val="0"/>
          <w:sz w:val="24"/>
          <w:szCs w:val="22"/>
        </w:rPr>
      </w:pPr>
      <w:r>
        <w:rPr>
          <w:rFonts w:hint="eastAsia" w:ascii="宋体" w:hAnsi="宋体" w:cs="宋体"/>
          <w:bCs/>
          <w:kern w:val="0"/>
          <w:sz w:val="24"/>
          <w:szCs w:val="22"/>
        </w:rPr>
        <w:t>7.1.2其他未尽事宜按照《财政部关于进一步加 强政府采购需求和履约验收管理的指导意见》(财库〔2016〕205 号)的要求进行验收。</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7.2履约验收方案</w:t>
      </w:r>
    </w:p>
    <w:p>
      <w:pPr>
        <w:pStyle w:val="8"/>
        <w:ind w:left="420" w:firstLine="480"/>
        <w:rPr>
          <w:rFonts w:hint="eastAsia" w:ascii="宋体" w:hAnsi="宋体" w:cs="宋体"/>
          <w:bCs/>
          <w:kern w:val="0"/>
          <w:sz w:val="24"/>
          <w:szCs w:val="22"/>
        </w:rPr>
      </w:pPr>
      <w:r>
        <w:rPr>
          <w:rFonts w:hint="eastAsia" w:ascii="宋体" w:hAnsi="宋体" w:cs="宋体"/>
          <w:bCs/>
          <w:kern w:val="0"/>
          <w:sz w:val="24"/>
          <w:szCs w:val="22"/>
        </w:rPr>
        <w:t>履约验收方案需明确履约验收的主体、时间、方式、程序、内容和验收标准等事项，具体需包含以下内容：</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1.验收组织方式：</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sym w:font="Wingdings" w:char="00FE"/>
      </w:r>
      <w:r>
        <w:rPr>
          <w:rFonts w:hint="eastAsia" w:ascii="宋体" w:hAnsi="宋体" w:cs="宋体"/>
          <w:color w:val="000000"/>
          <w:sz w:val="24"/>
        </w:rPr>
        <w:t xml:space="preserve">自行验收       </w:t>
      </w:r>
      <w:r>
        <w:rPr>
          <w:rFonts w:hint="eastAsia" w:ascii="宋体" w:hAnsi="宋体" w:cs="宋体"/>
          <w:color w:val="000000"/>
          <w:sz w:val="24"/>
        </w:rPr>
        <w:sym w:font="Wingdings" w:char="F0A8"/>
      </w:r>
      <w:r>
        <w:rPr>
          <w:rFonts w:hint="eastAsia" w:ascii="宋体" w:hAnsi="宋体" w:cs="宋体"/>
          <w:color w:val="000000"/>
          <w:sz w:val="24"/>
        </w:rPr>
        <w:t>委托第三方验收</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2.是否邀请本项目的其他供应商：</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sym w:font="Wingdings" w:char="F0A8"/>
      </w:r>
      <w:r>
        <w:rPr>
          <w:rFonts w:hint="eastAsia" w:ascii="宋体" w:hAnsi="宋体" w:cs="宋体"/>
          <w:color w:val="000000"/>
          <w:sz w:val="24"/>
        </w:rPr>
        <w:t xml:space="preserve">是   </w:t>
      </w:r>
      <w:r>
        <w:rPr>
          <w:rFonts w:hint="eastAsia" w:ascii="宋体" w:hAnsi="宋体" w:cs="宋体"/>
          <w:color w:val="000000"/>
          <w:sz w:val="24"/>
        </w:rPr>
        <w:sym w:font="Wingdings" w:char="00FE"/>
      </w:r>
      <w:r>
        <w:rPr>
          <w:rFonts w:hint="eastAsia" w:ascii="宋体" w:hAnsi="宋体" w:cs="宋体"/>
          <w:color w:val="000000"/>
          <w:sz w:val="24"/>
        </w:rPr>
        <w:t>否</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3.是否邀请专家：</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sym w:font="Wingdings" w:char="F0A8"/>
      </w:r>
      <w:r>
        <w:rPr>
          <w:rFonts w:hint="eastAsia" w:ascii="宋体" w:hAnsi="宋体" w:cs="宋体"/>
          <w:color w:val="000000"/>
          <w:sz w:val="24"/>
        </w:rPr>
        <w:t xml:space="preserve">是   </w:t>
      </w:r>
      <w:r>
        <w:rPr>
          <w:rFonts w:hint="eastAsia" w:ascii="宋体" w:hAnsi="宋体" w:cs="宋体"/>
          <w:color w:val="000000"/>
          <w:sz w:val="24"/>
        </w:rPr>
        <w:sym w:font="Wingdings" w:char="00FE"/>
      </w:r>
      <w:r>
        <w:rPr>
          <w:rFonts w:hint="eastAsia" w:ascii="宋体" w:hAnsi="宋体" w:cs="宋体"/>
          <w:color w:val="000000"/>
          <w:sz w:val="24"/>
        </w:rPr>
        <w:t>否</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4.是否邀请第三方检测机构</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sym w:font="Wingdings" w:char="F0A8"/>
      </w:r>
      <w:r>
        <w:rPr>
          <w:rFonts w:hint="eastAsia" w:ascii="宋体" w:hAnsi="宋体" w:cs="宋体"/>
          <w:color w:val="000000"/>
          <w:sz w:val="24"/>
        </w:rPr>
        <w:t xml:space="preserve">是   </w:t>
      </w:r>
      <w:r>
        <w:rPr>
          <w:rFonts w:hint="eastAsia" w:ascii="宋体" w:hAnsi="宋体" w:cs="宋体"/>
          <w:color w:val="000000"/>
          <w:sz w:val="24"/>
        </w:rPr>
        <w:sym w:font="Wingdings" w:char="00FE"/>
      </w:r>
      <w:r>
        <w:rPr>
          <w:rFonts w:hint="eastAsia" w:ascii="宋体" w:hAnsi="宋体" w:cs="宋体"/>
          <w:color w:val="000000"/>
          <w:sz w:val="24"/>
        </w:rPr>
        <w:t>否</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5.履约验收程序</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sym w:font="Wingdings" w:char="00FE"/>
      </w:r>
      <w:r>
        <w:rPr>
          <w:rFonts w:hint="eastAsia" w:ascii="宋体" w:hAnsi="宋体" w:cs="宋体"/>
          <w:color w:val="000000"/>
          <w:sz w:val="24"/>
        </w:rPr>
        <w:t xml:space="preserve">一次性验收   </w:t>
      </w:r>
      <w:r>
        <w:rPr>
          <w:rFonts w:hint="eastAsia" w:ascii="宋体" w:hAnsi="宋体" w:cs="宋体"/>
          <w:color w:val="000000"/>
          <w:sz w:val="24"/>
        </w:rPr>
        <w:sym w:font="Wingdings" w:char="F0A8"/>
      </w:r>
      <w:r>
        <w:rPr>
          <w:rFonts w:hint="eastAsia" w:ascii="宋体" w:hAnsi="宋体" w:cs="宋体"/>
          <w:color w:val="000000"/>
          <w:sz w:val="24"/>
        </w:rPr>
        <w:t>分段/分期验收</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6.履约验收时间</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sym w:font="Wingdings" w:char="F0A8"/>
      </w:r>
      <w:r>
        <w:rPr>
          <w:rFonts w:hint="eastAsia" w:ascii="宋体" w:hAnsi="宋体" w:cs="宋体"/>
          <w:color w:val="000000"/>
          <w:sz w:val="24"/>
        </w:rPr>
        <w:t>计划于何时验收，XXXX年XX月XX日</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sym w:font="Wingdings" w:char="00FE"/>
      </w:r>
      <w:r>
        <w:rPr>
          <w:rFonts w:hint="eastAsia" w:ascii="宋体" w:hAnsi="宋体" w:cs="宋体"/>
          <w:color w:val="000000"/>
          <w:sz w:val="24"/>
        </w:rPr>
        <w:t>供应商提出验收申请之日起20日内组织验收</w:t>
      </w:r>
    </w:p>
    <w:p>
      <w:pPr>
        <w:widowControl/>
        <w:spacing w:line="360" w:lineRule="auto"/>
        <w:ind w:right="53" w:firstLine="480" w:firstLineChars="200"/>
        <w:jc w:val="left"/>
        <w:textAlignment w:val="bottom"/>
        <w:rPr>
          <w:rFonts w:hint="eastAsia" w:ascii="宋体" w:hAnsi="宋体" w:cs="宋体"/>
          <w:color w:val="000000"/>
          <w:sz w:val="24"/>
        </w:rPr>
      </w:pPr>
      <w:r>
        <w:rPr>
          <w:rFonts w:hint="eastAsia" w:ascii="宋体" w:hAnsi="宋体" w:cs="宋体"/>
          <w:color w:val="000000"/>
          <w:sz w:val="24"/>
        </w:rPr>
        <w:t>7.验收组织的其他事项</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t>供应商仅在完成设备点件、安装、调试、使用培训，且设备配置、技术性能指标符合采购需求后，方可提出验收申请。</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8.技术履约验收内容</w:t>
      </w:r>
    </w:p>
    <w:p>
      <w:pPr>
        <w:spacing w:line="360" w:lineRule="auto"/>
        <w:ind w:right="53" w:firstLine="960" w:firstLineChars="400"/>
        <w:textAlignment w:val="bottom"/>
        <w:rPr>
          <w:rFonts w:hint="eastAsia" w:ascii="宋体" w:hAnsi="宋体" w:eastAsia="宋体" w:cs="宋体"/>
          <w:color w:val="000000"/>
          <w:sz w:val="24"/>
          <w:lang w:eastAsia="zh-CN"/>
        </w:rPr>
      </w:pPr>
      <w:r>
        <w:rPr>
          <w:rFonts w:hint="eastAsia" w:ascii="宋体" w:hAnsi="宋体" w:cs="宋体"/>
          <w:color w:val="000000"/>
          <w:sz w:val="24"/>
        </w:rPr>
        <w:t>招标文件要求及投标文件响应内容、中标产品厂家注册内容、产品说明书（如涉及）等内容进行技术验收</w:t>
      </w:r>
      <w:r>
        <w:rPr>
          <w:rFonts w:hint="eastAsia" w:ascii="宋体" w:hAnsi="宋体" w:cs="宋体"/>
          <w:color w:val="000000"/>
          <w:sz w:val="24"/>
          <w:lang w:eastAsia="zh-CN"/>
        </w:rPr>
        <w:t>。</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9.商务履约验收内容</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t>按投标文件响应商务内容验收。</w:t>
      </w:r>
    </w:p>
    <w:p>
      <w:pPr>
        <w:spacing w:line="360" w:lineRule="auto"/>
        <w:ind w:right="53" w:firstLine="480" w:firstLineChars="200"/>
        <w:textAlignment w:val="bottom"/>
        <w:rPr>
          <w:rFonts w:hint="eastAsia" w:ascii="宋体" w:hAnsi="宋体" w:cs="宋体"/>
          <w:color w:val="000000"/>
          <w:sz w:val="24"/>
        </w:rPr>
      </w:pPr>
      <w:r>
        <w:rPr>
          <w:rFonts w:hint="eastAsia" w:ascii="宋体" w:hAnsi="宋体" w:cs="宋体"/>
          <w:color w:val="000000"/>
          <w:sz w:val="24"/>
        </w:rPr>
        <w:t>10.履约验收标准</w:t>
      </w:r>
    </w:p>
    <w:p>
      <w:pPr>
        <w:spacing w:line="360" w:lineRule="auto"/>
        <w:ind w:right="53" w:firstLine="960" w:firstLineChars="400"/>
        <w:textAlignment w:val="bottom"/>
        <w:rPr>
          <w:rFonts w:hint="eastAsia" w:ascii="宋体" w:hAnsi="宋体" w:cs="宋体"/>
          <w:color w:val="000000"/>
          <w:sz w:val="24"/>
        </w:rPr>
      </w:pPr>
      <w:r>
        <w:rPr>
          <w:rFonts w:hint="eastAsia" w:ascii="宋体" w:hAnsi="宋体" w:cs="宋体"/>
          <w:color w:val="000000"/>
          <w:sz w:val="24"/>
        </w:rPr>
        <w:t>按国家相关法律、行业标准验收。</w:t>
      </w:r>
    </w:p>
    <w:p>
      <w:pPr>
        <w:widowControl/>
        <w:spacing w:line="360" w:lineRule="auto"/>
        <w:ind w:right="53" w:firstLine="480" w:firstLineChars="200"/>
        <w:jc w:val="left"/>
        <w:textAlignment w:val="bottom"/>
        <w:rPr>
          <w:rFonts w:hint="eastAsia" w:ascii="宋体" w:hAnsi="宋体" w:cs="宋体"/>
          <w:color w:val="000000"/>
          <w:sz w:val="24"/>
        </w:rPr>
      </w:pPr>
      <w:r>
        <w:rPr>
          <w:rFonts w:hint="eastAsia" w:ascii="宋体" w:hAnsi="宋体" w:cs="宋体"/>
          <w:color w:val="000000"/>
          <w:sz w:val="24"/>
        </w:rPr>
        <w:t>11.履约验收其他事项</w:t>
      </w:r>
    </w:p>
    <w:p>
      <w:pPr>
        <w:pStyle w:val="8"/>
        <w:ind w:firstLine="720" w:firstLineChars="300"/>
        <w:rPr>
          <w:rFonts w:hint="eastAsia" w:ascii="宋体" w:hAnsi="宋体" w:cs="宋体"/>
          <w:bCs/>
          <w:kern w:val="0"/>
          <w:sz w:val="24"/>
          <w:szCs w:val="22"/>
        </w:rPr>
      </w:pPr>
      <w:r>
        <w:rPr>
          <w:rFonts w:hint="eastAsia" w:ascii="宋体" w:hAnsi="宋体" w:cs="宋体"/>
          <w:color w:val="000000"/>
          <w:sz w:val="24"/>
        </w:rPr>
        <w:t>履约验收各条款间有不一致时，按较高标准进行。</w:t>
      </w:r>
    </w:p>
    <w:p>
      <w:pPr>
        <w:pStyle w:val="8"/>
        <w:ind w:left="420" w:firstLine="480"/>
        <w:outlineLvl w:val="3"/>
        <w:rPr>
          <w:rFonts w:hint="eastAsia" w:ascii="宋体" w:hAnsi="宋体" w:cs="宋体"/>
          <w:bCs/>
          <w:kern w:val="0"/>
          <w:sz w:val="24"/>
          <w:szCs w:val="22"/>
        </w:rPr>
      </w:pPr>
      <w:r>
        <w:rPr>
          <w:rFonts w:hint="eastAsia" w:ascii="宋体" w:hAnsi="宋体" w:cs="宋体"/>
          <w:bCs/>
          <w:kern w:val="0"/>
          <w:sz w:val="24"/>
          <w:szCs w:val="22"/>
        </w:rPr>
        <w:t>7.3投标人须在投标文件中单独提供配置清单【不同产品分别提供，格式参见本章格式1），并保证清单中的组件名称、型号与生产厂家技术资料（医疗器械注册证、说明书、装箱清单、技术白皮书等，至少其中之一】相符合，采购人将以此为依据进行验收。</w:t>
      </w:r>
    </w:p>
    <w:p>
      <w:pPr>
        <w:pStyle w:val="8"/>
        <w:ind w:left="420" w:firstLine="0" w:firstLineChars="0"/>
        <w:outlineLvl w:val="2"/>
        <w:rPr>
          <w:rFonts w:hint="eastAsia" w:ascii="宋体" w:hAnsi="宋体" w:cs="宋体"/>
          <w:bCs/>
          <w:kern w:val="0"/>
          <w:sz w:val="24"/>
          <w:szCs w:val="22"/>
        </w:rPr>
      </w:pPr>
      <w:r>
        <w:rPr>
          <w:rFonts w:hint="eastAsia" w:ascii="宋体" w:hAnsi="宋体" w:cs="宋体"/>
          <w:bCs/>
          <w:kern w:val="0"/>
          <w:sz w:val="24"/>
          <w:szCs w:val="22"/>
        </w:rPr>
        <w:t>8.签订合同须使用本招标文件中提供的模板（详见第八章政府采购合同），具体条款以招标文件、投标文件及双方另行约定为准。</w:t>
      </w:r>
    </w:p>
    <w:p>
      <w:pPr>
        <w:pStyle w:val="8"/>
        <w:ind w:left="420" w:firstLine="0" w:firstLineChars="0"/>
        <w:rPr>
          <w:rFonts w:hint="eastAsia" w:ascii="宋体" w:hAnsi="宋体" w:cs="宋体"/>
          <w:b/>
          <w:bCs/>
          <w:kern w:val="0"/>
          <w:sz w:val="24"/>
          <w:szCs w:val="22"/>
        </w:rPr>
      </w:pPr>
    </w:p>
    <w:p>
      <w:pPr>
        <w:pStyle w:val="8"/>
        <w:ind w:left="420" w:firstLine="0" w:firstLineChars="0"/>
        <w:rPr>
          <w:rFonts w:hint="eastAsia" w:ascii="宋体" w:hAnsi="宋体" w:cs="宋体"/>
          <w:bCs/>
          <w:kern w:val="0"/>
          <w:sz w:val="24"/>
          <w:szCs w:val="22"/>
        </w:rPr>
      </w:pPr>
      <w:r>
        <w:rPr>
          <w:rFonts w:hint="eastAsia" w:ascii="宋体" w:hAnsi="宋体" w:cs="宋体"/>
          <w:b/>
          <w:bCs/>
          <w:kern w:val="0"/>
          <w:sz w:val="24"/>
          <w:szCs w:val="22"/>
        </w:rPr>
        <w:t>注：若技术要求中指定或变相指定品牌、型号、产地等均不作为招标要求。</w:t>
      </w:r>
    </w:p>
    <w:p>
      <w:pPr>
        <w:pStyle w:val="8"/>
        <w:ind w:firstLineChars="0"/>
        <w:rPr>
          <w:rFonts w:hint="eastAsia" w:ascii="宋体" w:hAnsi="宋体" w:cs="宋体"/>
          <w:b/>
          <w:bCs/>
          <w:kern w:val="0"/>
          <w:sz w:val="24"/>
          <w:szCs w:val="22"/>
        </w:rPr>
      </w:pPr>
    </w:p>
    <w:p>
      <w:pPr>
        <w:pStyle w:val="8"/>
        <w:ind w:firstLineChars="0"/>
        <w:rPr>
          <w:rFonts w:hint="eastAsia" w:ascii="宋体" w:hAnsi="宋体" w:cs="宋体"/>
          <w:b/>
          <w:bCs/>
          <w:kern w:val="0"/>
          <w:sz w:val="24"/>
          <w:szCs w:val="22"/>
        </w:rPr>
      </w:pPr>
      <w:r>
        <w:rPr>
          <w:rFonts w:hint="eastAsia" w:ascii="宋体" w:hAnsi="宋体" w:cs="宋体"/>
          <w:b/>
          <w:bCs/>
          <w:kern w:val="0"/>
          <w:sz w:val="24"/>
          <w:szCs w:val="22"/>
        </w:rPr>
        <w:t>格式1</w:t>
      </w:r>
    </w:p>
    <w:p>
      <w:pPr>
        <w:pStyle w:val="8"/>
        <w:ind w:firstLineChars="0"/>
        <w:jc w:val="center"/>
        <w:rPr>
          <w:rFonts w:hint="eastAsia" w:ascii="宋体" w:hAnsi="宋体" w:cs="宋体"/>
          <w:b/>
          <w:bCs/>
          <w:kern w:val="0"/>
          <w:sz w:val="24"/>
          <w:szCs w:val="22"/>
        </w:rPr>
      </w:pPr>
      <w:r>
        <w:rPr>
          <w:rFonts w:hint="eastAsia" w:ascii="宋体" w:hAnsi="宋体" w:cs="宋体"/>
          <w:b/>
          <w:bCs/>
          <w:kern w:val="0"/>
          <w:sz w:val="24"/>
          <w:szCs w:val="22"/>
        </w:rPr>
        <w:t>配置清单</w:t>
      </w:r>
    </w:p>
    <w:p>
      <w:pPr>
        <w:pStyle w:val="3"/>
        <w:ind w:firstLine="0" w:firstLineChars="0"/>
        <w:rPr>
          <w:rFonts w:ascii="宋体" w:hAnsi="宋体"/>
          <w:b/>
          <w:bCs/>
          <w:szCs w:val="21"/>
        </w:rPr>
      </w:pPr>
      <w:r>
        <w:rPr>
          <w:rFonts w:hint="eastAsia" w:ascii="宋体" w:hAnsi="宋体"/>
          <w:b/>
          <w:bCs/>
          <w:sz w:val="21"/>
          <w:szCs w:val="21"/>
        </w:rPr>
        <w:t>招标产品1名称：XX</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664"/>
        <w:gridCol w:w="2077"/>
        <w:gridCol w:w="638"/>
        <w:gridCol w:w="639"/>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b/>
                <w:kern w:val="0"/>
                <w:szCs w:val="21"/>
              </w:rPr>
            </w:pPr>
            <w:r>
              <w:rPr>
                <w:rFonts w:hint="eastAsia"/>
                <w:b/>
                <w:kern w:val="0"/>
                <w:szCs w:val="21"/>
              </w:rPr>
              <w:t>序号</w:t>
            </w:r>
          </w:p>
        </w:tc>
        <w:tc>
          <w:tcPr>
            <w:tcW w:w="3402" w:type="dxa"/>
            <w:noWrap w:val="0"/>
            <w:vAlign w:val="center"/>
          </w:tcPr>
          <w:p>
            <w:pPr>
              <w:spacing w:line="460" w:lineRule="exact"/>
              <w:jc w:val="center"/>
              <w:outlineLvl w:val="0"/>
              <w:rPr>
                <w:b/>
                <w:kern w:val="0"/>
                <w:szCs w:val="21"/>
              </w:rPr>
            </w:pPr>
            <w:r>
              <w:rPr>
                <w:rFonts w:hint="eastAsia"/>
                <w:b/>
                <w:kern w:val="0"/>
                <w:szCs w:val="21"/>
              </w:rPr>
              <w:t>组件名称</w:t>
            </w:r>
          </w:p>
        </w:tc>
        <w:tc>
          <w:tcPr>
            <w:tcW w:w="2552" w:type="dxa"/>
            <w:noWrap w:val="0"/>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708" w:type="dxa"/>
            <w:noWrap w:val="0"/>
            <w:vAlign w:val="center"/>
          </w:tcPr>
          <w:p>
            <w:pPr>
              <w:spacing w:line="460" w:lineRule="exact"/>
              <w:jc w:val="center"/>
              <w:outlineLvl w:val="0"/>
              <w:rPr>
                <w:b/>
                <w:kern w:val="0"/>
                <w:szCs w:val="21"/>
              </w:rPr>
            </w:pPr>
            <w:r>
              <w:rPr>
                <w:rFonts w:hint="eastAsia"/>
                <w:b/>
                <w:kern w:val="0"/>
                <w:szCs w:val="21"/>
              </w:rPr>
              <w:t>单位</w:t>
            </w:r>
          </w:p>
        </w:tc>
        <w:tc>
          <w:tcPr>
            <w:tcW w:w="709" w:type="dxa"/>
            <w:noWrap w:val="0"/>
            <w:vAlign w:val="center"/>
          </w:tcPr>
          <w:p>
            <w:pPr>
              <w:spacing w:line="460" w:lineRule="exact"/>
              <w:jc w:val="center"/>
              <w:outlineLvl w:val="0"/>
              <w:rPr>
                <w:b/>
                <w:kern w:val="0"/>
                <w:szCs w:val="21"/>
              </w:rPr>
            </w:pPr>
            <w:r>
              <w:rPr>
                <w:rFonts w:hint="eastAsia"/>
                <w:b/>
                <w:kern w:val="0"/>
                <w:szCs w:val="21"/>
              </w:rPr>
              <w:t>数量</w:t>
            </w:r>
          </w:p>
        </w:tc>
        <w:tc>
          <w:tcPr>
            <w:tcW w:w="2232" w:type="dxa"/>
            <w:noWrap w:val="0"/>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Cs w:val="21"/>
              </w:rPr>
            </w:pPr>
            <w:r>
              <w:rPr>
                <w:rFonts w:hint="eastAsia"/>
                <w:kern w:val="0"/>
                <w:szCs w:val="21"/>
              </w:rPr>
              <w:t>1</w:t>
            </w:r>
          </w:p>
        </w:tc>
        <w:tc>
          <w:tcPr>
            <w:tcW w:w="3402" w:type="dxa"/>
            <w:noWrap w:val="0"/>
            <w:vAlign w:val="center"/>
          </w:tcPr>
          <w:p>
            <w:pPr>
              <w:spacing w:line="460" w:lineRule="exact"/>
              <w:outlineLvl w:val="0"/>
              <w:rPr>
                <w:kern w:val="0"/>
                <w:szCs w:val="21"/>
              </w:rPr>
            </w:pPr>
          </w:p>
        </w:tc>
        <w:tc>
          <w:tcPr>
            <w:tcW w:w="2552" w:type="dxa"/>
            <w:noWrap w:val="0"/>
            <w:vAlign w:val="center"/>
          </w:tcPr>
          <w:p>
            <w:pPr>
              <w:spacing w:line="460" w:lineRule="exact"/>
              <w:jc w:val="center"/>
              <w:outlineLvl w:val="0"/>
              <w:rPr>
                <w:kern w:val="0"/>
                <w:szCs w:val="21"/>
              </w:rPr>
            </w:pPr>
          </w:p>
        </w:tc>
        <w:tc>
          <w:tcPr>
            <w:tcW w:w="708" w:type="dxa"/>
            <w:noWrap w:val="0"/>
            <w:vAlign w:val="top"/>
          </w:tcPr>
          <w:p>
            <w:pPr>
              <w:spacing w:line="460" w:lineRule="exact"/>
              <w:jc w:val="center"/>
              <w:outlineLvl w:val="0"/>
              <w:rPr>
                <w:kern w:val="0"/>
                <w:szCs w:val="21"/>
              </w:rPr>
            </w:pPr>
          </w:p>
        </w:tc>
        <w:tc>
          <w:tcPr>
            <w:tcW w:w="709" w:type="dxa"/>
            <w:noWrap w:val="0"/>
            <w:vAlign w:val="center"/>
          </w:tcPr>
          <w:p>
            <w:pPr>
              <w:spacing w:line="460" w:lineRule="exact"/>
              <w:jc w:val="center"/>
              <w:outlineLvl w:val="0"/>
              <w:rPr>
                <w:kern w:val="0"/>
                <w:szCs w:val="21"/>
              </w:rPr>
            </w:pPr>
          </w:p>
        </w:tc>
        <w:tc>
          <w:tcPr>
            <w:tcW w:w="2232" w:type="dxa"/>
            <w:noWrap w:val="0"/>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rFonts w:hint="eastAsia"/>
                <w:kern w:val="0"/>
                <w:sz w:val="20"/>
                <w:szCs w:val="21"/>
              </w:rPr>
              <w:t>2</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rFonts w:hint="eastAsia"/>
                <w:kern w:val="0"/>
                <w:sz w:val="20"/>
                <w:szCs w:val="21"/>
              </w:rPr>
              <w:t>3</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kern w:val="0"/>
                <w:sz w:val="20"/>
                <w:szCs w:val="21"/>
              </w:rPr>
              <w:t>…</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bl>
    <w:p>
      <w:pPr>
        <w:pStyle w:val="3"/>
        <w:ind w:firstLine="0" w:firstLineChars="0"/>
      </w:pPr>
    </w:p>
    <w:p>
      <w:pPr>
        <w:pStyle w:val="3"/>
        <w:ind w:firstLine="0" w:firstLineChars="0"/>
        <w:rPr>
          <w:rFonts w:ascii="宋体" w:hAnsi="宋体"/>
          <w:b/>
          <w:bCs/>
          <w:szCs w:val="21"/>
        </w:rPr>
      </w:pPr>
      <w:r>
        <w:rPr>
          <w:rFonts w:hint="eastAsia" w:ascii="宋体" w:hAnsi="宋体"/>
          <w:b/>
          <w:bCs/>
          <w:sz w:val="21"/>
          <w:szCs w:val="21"/>
        </w:rPr>
        <w:t>招标产品</w:t>
      </w:r>
      <w:r>
        <w:rPr>
          <w:rFonts w:ascii="宋体" w:hAnsi="宋体"/>
          <w:b/>
          <w:bCs/>
          <w:sz w:val="21"/>
          <w:szCs w:val="21"/>
        </w:rPr>
        <w:t>2</w:t>
      </w:r>
      <w:r>
        <w:rPr>
          <w:rFonts w:hint="eastAsia" w:ascii="宋体" w:hAnsi="宋体"/>
          <w:b/>
          <w:bCs/>
          <w:sz w:val="21"/>
          <w:szCs w:val="21"/>
        </w:rPr>
        <w:t>名称：XX（如有）</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664"/>
        <w:gridCol w:w="2077"/>
        <w:gridCol w:w="638"/>
        <w:gridCol w:w="639"/>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center"/>
          </w:tcPr>
          <w:p>
            <w:pPr>
              <w:spacing w:line="460" w:lineRule="exact"/>
              <w:jc w:val="center"/>
              <w:outlineLvl w:val="0"/>
              <w:rPr>
                <w:b/>
                <w:kern w:val="0"/>
                <w:szCs w:val="21"/>
              </w:rPr>
            </w:pPr>
            <w:r>
              <w:rPr>
                <w:rFonts w:hint="eastAsia"/>
                <w:b/>
                <w:kern w:val="0"/>
                <w:szCs w:val="21"/>
              </w:rPr>
              <w:t>序号</w:t>
            </w:r>
          </w:p>
        </w:tc>
        <w:tc>
          <w:tcPr>
            <w:tcW w:w="3402" w:type="dxa"/>
            <w:noWrap w:val="0"/>
            <w:vAlign w:val="center"/>
          </w:tcPr>
          <w:p>
            <w:pPr>
              <w:spacing w:line="460" w:lineRule="exact"/>
              <w:jc w:val="center"/>
              <w:outlineLvl w:val="0"/>
              <w:rPr>
                <w:b/>
                <w:kern w:val="0"/>
                <w:szCs w:val="21"/>
              </w:rPr>
            </w:pPr>
            <w:r>
              <w:rPr>
                <w:rFonts w:hint="eastAsia"/>
                <w:b/>
                <w:kern w:val="0"/>
                <w:szCs w:val="21"/>
              </w:rPr>
              <w:t>组件名称</w:t>
            </w:r>
          </w:p>
        </w:tc>
        <w:tc>
          <w:tcPr>
            <w:tcW w:w="2552" w:type="dxa"/>
            <w:noWrap w:val="0"/>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708" w:type="dxa"/>
            <w:noWrap w:val="0"/>
            <w:vAlign w:val="center"/>
          </w:tcPr>
          <w:p>
            <w:pPr>
              <w:spacing w:line="460" w:lineRule="exact"/>
              <w:jc w:val="center"/>
              <w:outlineLvl w:val="0"/>
              <w:rPr>
                <w:b/>
                <w:kern w:val="0"/>
                <w:szCs w:val="21"/>
              </w:rPr>
            </w:pPr>
            <w:r>
              <w:rPr>
                <w:rFonts w:hint="eastAsia"/>
                <w:b/>
                <w:kern w:val="0"/>
                <w:szCs w:val="21"/>
              </w:rPr>
              <w:t>单位</w:t>
            </w:r>
          </w:p>
        </w:tc>
        <w:tc>
          <w:tcPr>
            <w:tcW w:w="709" w:type="dxa"/>
            <w:noWrap w:val="0"/>
            <w:vAlign w:val="center"/>
          </w:tcPr>
          <w:p>
            <w:pPr>
              <w:spacing w:line="460" w:lineRule="exact"/>
              <w:jc w:val="center"/>
              <w:outlineLvl w:val="0"/>
              <w:rPr>
                <w:b/>
                <w:kern w:val="0"/>
                <w:szCs w:val="21"/>
              </w:rPr>
            </w:pPr>
            <w:r>
              <w:rPr>
                <w:rFonts w:hint="eastAsia"/>
                <w:b/>
                <w:kern w:val="0"/>
                <w:szCs w:val="21"/>
              </w:rPr>
              <w:t>数量</w:t>
            </w:r>
          </w:p>
        </w:tc>
        <w:tc>
          <w:tcPr>
            <w:tcW w:w="2232" w:type="dxa"/>
            <w:noWrap w:val="0"/>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Cs w:val="21"/>
              </w:rPr>
            </w:pPr>
            <w:r>
              <w:rPr>
                <w:rFonts w:hint="eastAsia"/>
                <w:kern w:val="0"/>
                <w:szCs w:val="21"/>
              </w:rPr>
              <w:t>1</w:t>
            </w:r>
          </w:p>
        </w:tc>
        <w:tc>
          <w:tcPr>
            <w:tcW w:w="3402" w:type="dxa"/>
            <w:noWrap w:val="0"/>
            <w:vAlign w:val="center"/>
          </w:tcPr>
          <w:p>
            <w:pPr>
              <w:spacing w:line="460" w:lineRule="exact"/>
              <w:outlineLvl w:val="0"/>
              <w:rPr>
                <w:kern w:val="0"/>
                <w:szCs w:val="21"/>
              </w:rPr>
            </w:pPr>
          </w:p>
        </w:tc>
        <w:tc>
          <w:tcPr>
            <w:tcW w:w="2552" w:type="dxa"/>
            <w:noWrap w:val="0"/>
            <w:vAlign w:val="center"/>
          </w:tcPr>
          <w:p>
            <w:pPr>
              <w:spacing w:line="460" w:lineRule="exact"/>
              <w:jc w:val="center"/>
              <w:outlineLvl w:val="0"/>
              <w:rPr>
                <w:kern w:val="0"/>
                <w:szCs w:val="21"/>
              </w:rPr>
            </w:pPr>
          </w:p>
        </w:tc>
        <w:tc>
          <w:tcPr>
            <w:tcW w:w="708" w:type="dxa"/>
            <w:noWrap w:val="0"/>
            <w:vAlign w:val="top"/>
          </w:tcPr>
          <w:p>
            <w:pPr>
              <w:spacing w:line="460" w:lineRule="exact"/>
              <w:jc w:val="center"/>
              <w:outlineLvl w:val="0"/>
              <w:rPr>
                <w:kern w:val="0"/>
                <w:szCs w:val="21"/>
              </w:rPr>
            </w:pPr>
          </w:p>
        </w:tc>
        <w:tc>
          <w:tcPr>
            <w:tcW w:w="709" w:type="dxa"/>
            <w:noWrap w:val="0"/>
            <w:vAlign w:val="center"/>
          </w:tcPr>
          <w:p>
            <w:pPr>
              <w:spacing w:line="460" w:lineRule="exact"/>
              <w:jc w:val="center"/>
              <w:outlineLvl w:val="0"/>
              <w:rPr>
                <w:kern w:val="0"/>
                <w:szCs w:val="21"/>
              </w:rPr>
            </w:pPr>
          </w:p>
        </w:tc>
        <w:tc>
          <w:tcPr>
            <w:tcW w:w="2232" w:type="dxa"/>
            <w:noWrap w:val="0"/>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rFonts w:hint="eastAsia"/>
                <w:kern w:val="0"/>
                <w:sz w:val="20"/>
                <w:szCs w:val="21"/>
              </w:rPr>
              <w:t>2</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rFonts w:hint="eastAsia"/>
                <w:kern w:val="0"/>
                <w:sz w:val="20"/>
                <w:szCs w:val="21"/>
              </w:rPr>
              <w:t>3</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kern w:val="0"/>
                <w:sz w:val="20"/>
                <w:szCs w:val="21"/>
              </w:rPr>
              <w:t>…</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bl>
    <w:p>
      <w:pPr>
        <w:pStyle w:val="3"/>
        <w:ind w:firstLine="0" w:firstLineChars="0"/>
      </w:pPr>
    </w:p>
    <w:p>
      <w:pPr>
        <w:pStyle w:val="3"/>
        <w:ind w:firstLine="0" w:firstLineChars="0"/>
        <w:rPr>
          <w:rFonts w:ascii="宋体" w:hAnsi="宋体"/>
          <w:b/>
          <w:bCs/>
          <w:szCs w:val="21"/>
        </w:rPr>
      </w:pPr>
      <w:r>
        <w:rPr>
          <w:rFonts w:hint="eastAsia" w:ascii="宋体" w:hAnsi="宋体"/>
          <w:b/>
          <w:bCs/>
          <w:sz w:val="21"/>
          <w:szCs w:val="21"/>
        </w:rPr>
        <w:t>招标产品</w:t>
      </w:r>
      <w:r>
        <w:rPr>
          <w:rFonts w:ascii="宋体" w:hAnsi="宋体"/>
          <w:b/>
          <w:bCs/>
          <w:sz w:val="21"/>
          <w:szCs w:val="21"/>
        </w:rPr>
        <w:t>3</w:t>
      </w:r>
      <w:r>
        <w:rPr>
          <w:rFonts w:hint="eastAsia" w:ascii="宋体" w:hAnsi="宋体"/>
          <w:b/>
          <w:bCs/>
          <w:sz w:val="21"/>
          <w:szCs w:val="21"/>
        </w:rPr>
        <w:t>名称：XX（如有）</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664"/>
        <w:gridCol w:w="2077"/>
        <w:gridCol w:w="638"/>
        <w:gridCol w:w="639"/>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b/>
                <w:kern w:val="0"/>
                <w:szCs w:val="21"/>
              </w:rPr>
            </w:pPr>
            <w:r>
              <w:rPr>
                <w:rFonts w:hint="eastAsia"/>
                <w:b/>
                <w:kern w:val="0"/>
                <w:szCs w:val="21"/>
              </w:rPr>
              <w:t>序号</w:t>
            </w:r>
          </w:p>
        </w:tc>
        <w:tc>
          <w:tcPr>
            <w:tcW w:w="3402" w:type="dxa"/>
            <w:noWrap w:val="0"/>
            <w:vAlign w:val="center"/>
          </w:tcPr>
          <w:p>
            <w:pPr>
              <w:spacing w:line="460" w:lineRule="exact"/>
              <w:jc w:val="center"/>
              <w:outlineLvl w:val="0"/>
              <w:rPr>
                <w:b/>
                <w:kern w:val="0"/>
                <w:szCs w:val="21"/>
              </w:rPr>
            </w:pPr>
            <w:r>
              <w:rPr>
                <w:rFonts w:hint="eastAsia"/>
                <w:b/>
                <w:kern w:val="0"/>
                <w:szCs w:val="21"/>
              </w:rPr>
              <w:t>组件名称</w:t>
            </w:r>
          </w:p>
        </w:tc>
        <w:tc>
          <w:tcPr>
            <w:tcW w:w="2552" w:type="dxa"/>
            <w:noWrap w:val="0"/>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708" w:type="dxa"/>
            <w:noWrap w:val="0"/>
            <w:vAlign w:val="center"/>
          </w:tcPr>
          <w:p>
            <w:pPr>
              <w:spacing w:line="460" w:lineRule="exact"/>
              <w:jc w:val="center"/>
              <w:outlineLvl w:val="0"/>
              <w:rPr>
                <w:b/>
                <w:kern w:val="0"/>
                <w:szCs w:val="21"/>
              </w:rPr>
            </w:pPr>
            <w:r>
              <w:rPr>
                <w:rFonts w:hint="eastAsia"/>
                <w:b/>
                <w:kern w:val="0"/>
                <w:szCs w:val="21"/>
              </w:rPr>
              <w:t>单位</w:t>
            </w:r>
          </w:p>
        </w:tc>
        <w:tc>
          <w:tcPr>
            <w:tcW w:w="709" w:type="dxa"/>
            <w:noWrap w:val="0"/>
            <w:vAlign w:val="center"/>
          </w:tcPr>
          <w:p>
            <w:pPr>
              <w:spacing w:line="460" w:lineRule="exact"/>
              <w:jc w:val="center"/>
              <w:outlineLvl w:val="0"/>
              <w:rPr>
                <w:b/>
                <w:kern w:val="0"/>
                <w:szCs w:val="21"/>
              </w:rPr>
            </w:pPr>
            <w:r>
              <w:rPr>
                <w:rFonts w:hint="eastAsia"/>
                <w:b/>
                <w:kern w:val="0"/>
                <w:szCs w:val="21"/>
              </w:rPr>
              <w:t>数量</w:t>
            </w:r>
          </w:p>
        </w:tc>
        <w:tc>
          <w:tcPr>
            <w:tcW w:w="2232" w:type="dxa"/>
            <w:noWrap w:val="0"/>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17" w:type="dxa"/>
            <w:noWrap w:val="0"/>
            <w:vAlign w:val="center"/>
          </w:tcPr>
          <w:p>
            <w:pPr>
              <w:spacing w:line="460" w:lineRule="exact"/>
              <w:jc w:val="center"/>
              <w:outlineLvl w:val="0"/>
              <w:rPr>
                <w:kern w:val="0"/>
                <w:szCs w:val="21"/>
              </w:rPr>
            </w:pPr>
            <w:r>
              <w:rPr>
                <w:rFonts w:hint="eastAsia"/>
                <w:kern w:val="0"/>
                <w:szCs w:val="21"/>
              </w:rPr>
              <w:t>1</w:t>
            </w:r>
          </w:p>
        </w:tc>
        <w:tc>
          <w:tcPr>
            <w:tcW w:w="3402" w:type="dxa"/>
            <w:noWrap w:val="0"/>
            <w:vAlign w:val="center"/>
          </w:tcPr>
          <w:p>
            <w:pPr>
              <w:spacing w:line="460" w:lineRule="exact"/>
              <w:outlineLvl w:val="0"/>
              <w:rPr>
                <w:kern w:val="0"/>
                <w:szCs w:val="21"/>
              </w:rPr>
            </w:pPr>
          </w:p>
        </w:tc>
        <w:tc>
          <w:tcPr>
            <w:tcW w:w="2552" w:type="dxa"/>
            <w:noWrap w:val="0"/>
            <w:vAlign w:val="center"/>
          </w:tcPr>
          <w:p>
            <w:pPr>
              <w:spacing w:line="460" w:lineRule="exact"/>
              <w:jc w:val="center"/>
              <w:outlineLvl w:val="0"/>
              <w:rPr>
                <w:kern w:val="0"/>
                <w:szCs w:val="21"/>
              </w:rPr>
            </w:pPr>
          </w:p>
        </w:tc>
        <w:tc>
          <w:tcPr>
            <w:tcW w:w="708" w:type="dxa"/>
            <w:noWrap w:val="0"/>
            <w:vAlign w:val="top"/>
          </w:tcPr>
          <w:p>
            <w:pPr>
              <w:spacing w:line="460" w:lineRule="exact"/>
              <w:jc w:val="center"/>
              <w:outlineLvl w:val="0"/>
              <w:rPr>
                <w:kern w:val="0"/>
                <w:szCs w:val="21"/>
              </w:rPr>
            </w:pPr>
          </w:p>
        </w:tc>
        <w:tc>
          <w:tcPr>
            <w:tcW w:w="709" w:type="dxa"/>
            <w:noWrap w:val="0"/>
            <w:vAlign w:val="center"/>
          </w:tcPr>
          <w:p>
            <w:pPr>
              <w:spacing w:line="460" w:lineRule="exact"/>
              <w:jc w:val="center"/>
              <w:outlineLvl w:val="0"/>
              <w:rPr>
                <w:kern w:val="0"/>
                <w:szCs w:val="21"/>
              </w:rPr>
            </w:pPr>
          </w:p>
        </w:tc>
        <w:tc>
          <w:tcPr>
            <w:tcW w:w="2232" w:type="dxa"/>
            <w:noWrap w:val="0"/>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817" w:type="dxa"/>
            <w:noWrap w:val="0"/>
            <w:vAlign w:val="center"/>
          </w:tcPr>
          <w:p>
            <w:pPr>
              <w:spacing w:line="460" w:lineRule="exact"/>
              <w:jc w:val="center"/>
              <w:outlineLvl w:val="0"/>
              <w:rPr>
                <w:kern w:val="0"/>
                <w:sz w:val="20"/>
                <w:szCs w:val="21"/>
              </w:rPr>
            </w:pPr>
            <w:r>
              <w:rPr>
                <w:rFonts w:hint="eastAsia"/>
                <w:kern w:val="0"/>
                <w:sz w:val="20"/>
                <w:szCs w:val="21"/>
              </w:rPr>
              <w:t>2</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noWrap w:val="0"/>
            <w:vAlign w:val="center"/>
          </w:tcPr>
          <w:p>
            <w:pPr>
              <w:spacing w:line="460" w:lineRule="exact"/>
              <w:jc w:val="center"/>
              <w:outlineLvl w:val="0"/>
              <w:rPr>
                <w:kern w:val="0"/>
                <w:sz w:val="20"/>
                <w:szCs w:val="21"/>
              </w:rPr>
            </w:pPr>
            <w:r>
              <w:rPr>
                <w:rFonts w:hint="eastAsia"/>
                <w:kern w:val="0"/>
                <w:sz w:val="20"/>
                <w:szCs w:val="21"/>
              </w:rPr>
              <w:t>3</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817" w:type="dxa"/>
            <w:noWrap w:val="0"/>
            <w:vAlign w:val="center"/>
          </w:tcPr>
          <w:p>
            <w:pPr>
              <w:spacing w:line="460" w:lineRule="exact"/>
              <w:jc w:val="center"/>
              <w:outlineLvl w:val="0"/>
              <w:rPr>
                <w:kern w:val="0"/>
                <w:sz w:val="20"/>
                <w:szCs w:val="21"/>
              </w:rPr>
            </w:pPr>
            <w:r>
              <w:rPr>
                <w:kern w:val="0"/>
                <w:sz w:val="20"/>
                <w:szCs w:val="21"/>
              </w:rPr>
              <w:t>…</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759E28"/>
    <w:multiLevelType w:val="singleLevel"/>
    <w:tmpl w:val="CB759E2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YTExNmY1NTc4MTA2ODEyNjAwOGRmMDMwMDNjNjQifQ=="/>
  </w:docVars>
  <w:rsids>
    <w:rsidRoot w:val="47FC4EF2"/>
    <w:rsid w:val="47FC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100" w:beforeAutospacing="1" w:after="100" w:afterAutospacing="1" w:line="420" w:lineRule="exact"/>
      <w:jc w:val="center"/>
      <w:outlineLvl w:val="0"/>
    </w:pPr>
    <w:rPr>
      <w:b/>
      <w:bCs/>
      <w:kern w:val="44"/>
      <w:sz w:val="36"/>
      <w:szCs w:val="44"/>
    </w:rPr>
  </w:style>
  <w:style w:type="paragraph" w:styleId="5">
    <w:name w:val="heading 2"/>
    <w:basedOn w:val="1"/>
    <w:next w:val="1"/>
    <w:qFormat/>
    <w:uiPriority w:val="0"/>
    <w:pPr>
      <w:keepNext/>
      <w:keepLines/>
      <w:spacing w:beforeLines="50" w:afterLines="50" w:line="420" w:lineRule="exact"/>
      <w:jc w:val="both"/>
      <w:outlineLvl w:val="1"/>
    </w:pPr>
    <w:rPr>
      <w:rFonts w:ascii="Arial" w:hAnsi="Arial"/>
      <w:b/>
      <w:bCs/>
      <w:kern w:val="0"/>
      <w:sz w:val="24"/>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overflowPunct/>
      <w:autoSpaceDE/>
      <w:autoSpaceDN/>
      <w:spacing w:after="120"/>
      <w:jc w:val="left"/>
    </w:pPr>
    <w:rPr>
      <w:kern w:val="0"/>
      <w:sz w:val="24"/>
    </w:rPr>
  </w:style>
  <w:style w:type="paragraph" w:styleId="3">
    <w:name w:val="Body Text First Indent"/>
    <w:basedOn w:val="2"/>
    <w:unhideWhenUsed/>
    <w:qFormat/>
    <w:uiPriority w:val="0"/>
    <w:pPr>
      <w:ind w:firstLine="420" w:firstLineChars="100"/>
    </w:pPr>
  </w:style>
  <w:style w:type="paragraph" w:customStyle="1" w:styleId="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2023-01-17T01:06:00Z</dcterms:created>
  <dc:creator>K、凯</dc:creator>
  <cp:lastModifiedBy>K、凯</cp:lastModifiedBy>
  <dcterms:modified xsi:type="dcterms:W3CDTF">2023-01-17T01:07:49Z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0867F792DCB24F5282829F25B80D1DEE</vt:lpwstr>
  </property>
</Properties>
</file>