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  <w:lang w:val="en-US" w:eastAsia="zh-CN"/>
        </w:rPr>
        <w:t>采购需求</w:t>
      </w:r>
    </w:p>
    <w:p>
      <w:pPr>
        <w:widowControl/>
        <w:spacing w:line="360" w:lineRule="auto"/>
        <w:ind w:firstLine="629" w:firstLineChars="200"/>
        <w:jc w:val="left"/>
        <w:outlineLvl w:val="1"/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</w:pPr>
      <w:bookmarkStart w:id="0" w:name="_Toc14600"/>
      <w:bookmarkStart w:id="1" w:name="_Toc4059"/>
      <w:r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  <w:t>一、项目概述</w:t>
      </w:r>
      <w:bookmarkEnd w:id="0"/>
      <w:bookmarkEnd w:id="1"/>
      <w:bookmarkStart w:id="11" w:name="_GoBack"/>
      <w:bookmarkEnd w:id="11"/>
    </w:p>
    <w:p>
      <w:pPr>
        <w:pStyle w:val="2"/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color w:val="FF0000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本项目共计1个，此次采购教学钢琴1批，此次采购包括货物的运输、安装调试及售后服务。</w:t>
      </w:r>
    </w:p>
    <w:p>
      <w:pPr>
        <w:widowControl/>
        <w:spacing w:line="360" w:lineRule="auto"/>
        <w:ind w:firstLine="629" w:firstLineChars="200"/>
        <w:jc w:val="left"/>
        <w:outlineLvl w:val="1"/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</w:pPr>
      <w:bookmarkStart w:id="2" w:name="_Toc26245"/>
      <w:bookmarkStart w:id="3" w:name="_Toc27805"/>
      <w:r>
        <w:rPr>
          <w:rFonts w:hint="eastAsia" w:ascii="仿宋" w:hAnsi="仿宋" w:eastAsia="仿宋" w:cs="仿宋"/>
          <w:b/>
          <w:bCs/>
          <w:spacing w:val="3"/>
          <w:w w:val="96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  <w:t>二、产品所属行业</w:t>
      </w:r>
      <w:bookmarkEnd w:id="2"/>
      <w:bookmarkEnd w:id="3"/>
    </w:p>
    <w:p>
      <w:pPr>
        <w:pStyle w:val="2"/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本项目产品所属行业：工业。</w:t>
      </w:r>
    </w:p>
    <w:p>
      <w:pPr>
        <w:widowControl/>
        <w:spacing w:line="360" w:lineRule="auto"/>
        <w:ind w:firstLine="629" w:firstLineChars="200"/>
        <w:jc w:val="left"/>
        <w:outlineLvl w:val="1"/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</w:pPr>
      <w:bookmarkStart w:id="4" w:name="_Toc14482"/>
      <w:bookmarkStart w:id="5" w:name="_Toc11323"/>
      <w:r>
        <w:rPr>
          <w:rFonts w:hint="eastAsia" w:ascii="仿宋" w:hAnsi="仿宋" w:eastAsia="仿宋" w:cs="仿宋"/>
          <w:b/>
          <w:bCs/>
          <w:spacing w:val="3"/>
          <w:w w:val="96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  <w:t>三、项目清单及技术参数要求</w:t>
      </w:r>
      <w:bookmarkEnd w:id="4"/>
      <w:bookmarkEnd w:id="5"/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99"/>
        <w:gridCol w:w="5048"/>
        <w:gridCol w:w="662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bookmarkStart w:id="6" w:name="_Toc7181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产品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（标的）名称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技术参数要求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立式钢琴1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1.规格尺寸：钢琴高度（H）1180±0.5mm。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2.声学品质：标准音小字一组a音的频率范围444-445Hz；音准稳定性≤2音分。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3.演奏性能：白键下沉深度9.8~10.4mm；白键下沉偏差≤0.6mm；相邻两键偏差最大值≤0.4mm；琴键负荷下降0.58~0.67N，回升0.27~0.34N，相邻两键下降负荷差，最大值≤0.08；踏瓣负荷≤9.5N。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4.键盘：白键前端长度50.8~50.9mm，八度音程白键宽度：164.4~165.4mm，黑键高度11.8~12.5mm，琴键间隙0.6~1.0mm，中盘底面距地面高度≥623mm。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5.弦轴:直径6.82~6.85mm，锥度1：9.5~1：9.2。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6.外壳：表面涂饰高光平均值≥92.9光泽单位，平面度对角线长度≥1200,公差≤0.4mm；500≤对角线长度&lt;1200，公差≤0.3mm；对角线长度&lt;500，公差≤0.2mm。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7.金属零件：铁板结构及外观牢固，不应有使用和外观上的缺陷；涂层不应气泡、脱皮；踏 瓣、饺链压弦条、弦枕弦枕钮、锁表面光洁，没有有腐蚀和变色。外观色泽应基本一致不得有起泡、脱皮和露底。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供应商响应文件中须提供第三方检测机构出具带有CMA、CNAS标识的检测报告复印件佐证以上技术参数要求。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立式钢琴2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1.规格尺寸：钢琴高度（H）1210±0.5mm。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2.声学品质：标准音小字一组a音的频率范围444~446Hz；音准稳定性≤2音分。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3.演奏性能：白键下沉深度10.1~10.5mm；白键下沉偏差≤0.4mm；相邻两键偏差最大值≤0.3mm；琴键负荷下降0.64~0.75N，回升0.28~0.34N，相邻两键下降负荷差，最大值≤0.05；踏瓣负荷≤6.3N。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4.键盘：白键前端长度50.9~51.0mm，每音组白键宽度：164.5~165.5mm，黑键前端高度11.8~12.4mm，琴键间隙0.7~0.9mm，中盘底面距地面高度≥640mm，白键面距地面高度≥740mm。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5.弦轴:直径6.1~7.0mm，锥度1：9.5~1：9.4。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6.外壳：表面涂饰高光平均值≥94.0光泽单位，平面度对角线长度≥1200，公差≤0.3mm；500≤对角线长度&lt;1200，公差≤0.3mm；对角线长度&lt;500，公差≤0.3mm。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7.金属零件：铁板结构及外观牢固，不应有使用和外观上的缺陷；涂层不应气泡、脱皮；踏瓣、饺链压弦条、弦枕弦枕钮、锁表面光洁，没有有腐蚀和变色。外观色泽应基本一致不得有起泡、脱皮和露底。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8.甲醛含量≤0.03mg/m³；甲苯≤0.005mg/m³；二甲苯≤0.005mg/m³；总挥发有机化合物≤0.07mg/m³；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供应商响应文件中须提供第三方检测机构出具带有CMA、CNAS标识的检测报告复印件佐证以上技术参数要求。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立式钢琴3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1.规格尺寸：钢琴高度（H）1160±0.5mm。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2.声学品质：标准音小字一组a音的频率范围444~446Hz；音准稳定性≤2音分。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3.演奏性能：白键下沉深度10.1~10.5mm；白键下沉偏差≤0.4mm；相邻两键偏差最大值≤0.3mm；琴键负荷下降0.64~0.75N，回升0.28~0.34N，相邻两键下降负荷差，最大值≤0.05；踏瓣负荷≤6.3N。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4.键盘：白键前端长度50.9~51.0mm，每音组白键宽度：164.5~165.5mm，黑键前端高度11.8~12.4mm，琴键间隙0.7~0.9mm，中盘底面距地面高度≥640mm，白键面距地面高度≥740mm。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5.弦轴:直径6.1~7.0mm，锥度1：9.5~1：9.4。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6.外壳：表面涂饰高光平均值≥94.0光泽单位，平面度对角线长度≥1200，公差≤0.3mm；500≤对角线长度&lt;1200，公差≤0.3mm；对角线长度&lt;500，公差≤0.3mm。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7.金属零件：铁板结构及外观牢固，不应有使用和外观上的缺陷；涂层不应气泡、脱皮；踏 瓣、饺链压弦条、弦枕弦枕钮、锁表面光洁，没有有腐蚀和变色。外观色泽应基本一致不得有起泡、脱皮和露底。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钢琴4（核心产品）</w:t>
            </w:r>
          </w:p>
        </w:tc>
        <w:tc>
          <w:tcPr>
            <w:tcW w:w="2964" w:type="pc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1.宽高深：1501*1024*463±1 mm，黑色钢琴烤漆，缓降功能的琴键盖，配乐谱架。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2.键盘：琴键数88(A1-C7)，云杉木实木键体，表面键皮白键面使用丙烯酸树脂，黑键面使用酚醛树脂，无油漆涂层。力度感响应：强力/中等/柔和/固定。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3.键盘传感器：非接触式光纤。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4.踏板：踏板数量≥3个；功能：制音（带半踏板效果）、延音、柔音；类型：GP响应制音踏板。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5.音色：发音数≥256，预置音色数≥15。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6.乐曲(MIDI)要求：（1）预置乐曲数：15种音色示范曲+50首经典乐曲；（2）录音：乐曲数≥10，音轨数≥1，数据容量≥约500KB/首。</w:t>
            </w:r>
          </w:p>
          <w:p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7.录音时间≥80分钟/首，播放、录制格式WAV (44.1kHz、16bit、立体声)。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8.总体控制：有节拍器，速度范围5-500，移调-6-0-+6，调音414.8-440.0-466.8Hz（约以0.2 Hz为增量），7种音阶类型。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9.声音系统要求：功放≥（45W+45W）x2，扬声器≥(16 cm 1.9 cm)x2，有声学优化器。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widowControl/>
        <w:spacing w:line="360" w:lineRule="auto"/>
        <w:ind w:firstLine="629" w:firstLineChars="200"/>
        <w:jc w:val="left"/>
        <w:outlineLvl w:val="1"/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</w:pPr>
      <w:bookmarkStart w:id="7" w:name="_Toc21835"/>
      <w:bookmarkStart w:id="8" w:name="_Toc26430"/>
      <w:r>
        <w:rPr>
          <w:rFonts w:hint="eastAsia" w:ascii="仿宋_GB2312" w:hAnsi="仿宋_GB2312" w:eastAsia="仿宋_GB2312" w:cs="仿宋_GB2312"/>
          <w:b/>
          <w:bCs/>
          <w:spacing w:val="3"/>
          <w:w w:val="96"/>
          <w:sz w:val="32"/>
          <w:szCs w:val="32"/>
        </w:rPr>
        <w:t>★四、商务要求</w:t>
      </w:r>
      <w:bookmarkEnd w:id="6"/>
      <w:bookmarkEnd w:id="7"/>
      <w:bookmarkEnd w:id="8"/>
      <w:bookmarkStart w:id="9" w:name="第七章  评标办法"/>
      <w:bookmarkEnd w:id="9"/>
      <w:bookmarkStart w:id="10" w:name="_bookmark6"/>
      <w:bookmarkEnd w:id="10"/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（一）交货时间：合同签订后15日内完成设备的安装、调试、验收并交付使用。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（二）交货地点：宜宾学院。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（三）付款方式：合同签订后，达到付款条件起15日内，支付合同总金额的30%；验收合格后，达到付款条件起15日内，支付合同总金额的70%。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（四）质量要求：供货时，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成交供应商</w:t>
      </w:r>
      <w:r>
        <w:rPr>
          <w:rFonts w:hint="eastAsia" w:ascii="仿宋" w:hAnsi="仿宋" w:eastAsia="仿宋" w:cs="仿宋"/>
          <w:color w:val="000000"/>
          <w:sz w:val="24"/>
        </w:rPr>
        <w:t>须提供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竞争性谈判文件要求的</w:t>
      </w:r>
      <w:r>
        <w:rPr>
          <w:rFonts w:hint="eastAsia" w:ascii="仿宋" w:hAnsi="仿宋" w:eastAsia="仿宋" w:cs="仿宋"/>
          <w:color w:val="000000"/>
          <w:sz w:val="24"/>
        </w:rPr>
        <w:t>检测报告原件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给采购人。供应商</w:t>
      </w:r>
      <w:r>
        <w:rPr>
          <w:rFonts w:hint="eastAsia" w:ascii="仿宋" w:hAnsi="仿宋" w:eastAsia="仿宋" w:cs="仿宋"/>
          <w:color w:val="000000"/>
          <w:sz w:val="24"/>
        </w:rPr>
        <w:t>提供全新的货物（含零部件、配件等），表面无划伤、无碰撞痕迹，且权属清楚，不得侵害他人的知识产权。货物必须符合或优于国家（行业）技术标准。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（五）质量保修范围和保修期：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1.验收合格之日起1年，质保期内出现质量问题所有配件免费更换。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2.须提供全新的货物（含零部件、配件等），表面无划伤、无碰撞痕迹，且权属清楚，不得侵害他人的知识产权。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3.提供的设备的制造标准、安装标准及技术规范符合国家标准，质保期满后，终身维护，长期提供良好的技术支持及零配件的优惠供应。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（六）售后服务：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1.维护响应时间：在设备的使用寿命期内维修，成交供应商在接到采购人通知2小时内做出响应并在24小时内到达现场；若现场无法解决问题，应在48小时内由制造商工程师到场或者提供解决方案。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2.供应商需在响应文件中提供售后服务网点名称、地址、联系人及联系方式。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七）安装及调试：成交供应商负责产品安装和调试，直至采购人能正常使用。成交供应商对采购人员进行现场培训，直至采购人的技术人员能独立操作，同时能完成一般常见故障的维修工作。成交供应商应向采购人提供产品运输、安装、维修所需的一切材料、备件、专业工具、仪器等，所涉及的价格包括在报价总价格中。</w:t>
      </w:r>
    </w:p>
    <w:p>
      <w:pPr>
        <w:keepNext/>
        <w:keepLines/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（八）验收：严格按照《财政部关于进一步加强政府采购需求和履约验收管理的指导意见》(财库〔2016〕205 号)的要求及采购文件、响应文件、合同内容进行验收。如有短缺、规格质量不符等，由成交供应商在10日内无偿给与更换、补齐，并承担由此产生的全部费用并追究供应商的违约责任。给采购人带来损失的按相关规定进行处理。</w:t>
      </w:r>
    </w:p>
    <w:p>
      <w:r>
        <w:rPr>
          <w:rFonts w:hint="eastAsia" w:ascii="仿宋" w:hAnsi="仿宋" w:eastAsia="仿宋" w:cs="仿宋"/>
          <w:b/>
          <w:bCs/>
          <w:sz w:val="24"/>
        </w:rPr>
        <w:t>注：本采购需求中标注“★”号的条款为本次采购项目的实质性要求，供应商应全部满足，否则作无效响应处理。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mM1YTJjZDNiMGIxOWMwMDgxZTYzN2Q0ZWMwN2EifQ=="/>
  </w:docVars>
  <w:rsids>
    <w:rsidRoot w:val="1B5D5378"/>
    <w:rsid w:val="1B5D5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2023-11-30T02:17:00Z</dcterms:created>
  <dc:creator>acumen</dc:creator>
  <cp:lastModifiedBy>acumen</cp:lastModifiedBy>
  <dcterms:modified xsi:type="dcterms:W3CDTF">2023-11-30T02:18:02Z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D5383B5931504BAEB3846D58B1335F3B_11</vt:lpwstr>
  </property>
</Properties>
</file>