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40" w:lineRule="auto"/>
        <w:rPr>
          <w:rFonts w:ascii="仿宋" w:hAnsi="仿宋"/>
          <w:sz w:val="36"/>
          <w:szCs w:val="36"/>
        </w:rPr>
      </w:pPr>
      <w:r>
        <w:rPr>
          <w:rFonts w:hint="eastAsia" w:ascii="仿宋" w:hAnsi="仿宋"/>
          <w:sz w:val="36"/>
          <w:szCs w:val="36"/>
        </w:rPr>
        <w:t>招标项目技术、服务、商务及其他要求</w:t>
      </w:r>
    </w:p>
    <w:p>
      <w:pPr>
        <w:pStyle w:val="4"/>
        <w:spacing w:line="400" w:lineRule="exact"/>
        <w:rPr>
          <w:rFonts w:ascii="仿宋" w:hAnsi="仿宋"/>
          <w:sz w:val="24"/>
          <w:szCs w:val="24"/>
        </w:rPr>
      </w:pPr>
      <w:bookmarkStart w:id="0" w:name="_Toc217446094"/>
      <w:r>
        <w:rPr>
          <w:rFonts w:hint="eastAsia" w:ascii="仿宋" w:hAnsi="仿宋"/>
          <w:sz w:val="24"/>
          <w:szCs w:val="24"/>
        </w:rPr>
        <w:t>前提：本章中标注“</w:t>
      </w:r>
      <w:r>
        <w:rPr>
          <w:rFonts w:hint="eastAsia" w:ascii="仿宋" w:hAnsi="仿宋" w:cs="宋体"/>
          <w:sz w:val="21"/>
          <w:szCs w:val="21"/>
        </w:rPr>
        <w:t>★</w:t>
      </w:r>
      <w:r>
        <w:rPr>
          <w:rFonts w:hint="eastAsia" w:ascii="仿宋" w:hAnsi="仿宋"/>
          <w:sz w:val="24"/>
          <w:szCs w:val="24"/>
        </w:rPr>
        <w:t>”的条款为本项目的实质性条款，投标人不满足的，将按照无效投标处理。</w:t>
      </w:r>
    </w:p>
    <w:p/>
    <w:p>
      <w:pPr>
        <w:pStyle w:val="4"/>
        <w:numPr>
          <w:ilvl w:val="0"/>
          <w:numId w:val="1"/>
        </w:numPr>
        <w:tabs>
          <w:tab w:val="left" w:pos="6938"/>
        </w:tabs>
        <w:spacing w:line="400" w:lineRule="exact"/>
        <w:rPr>
          <w:rFonts w:ascii="仿宋" w:hAnsi="仿宋"/>
          <w:sz w:val="24"/>
          <w:szCs w:val="24"/>
        </w:rPr>
      </w:pPr>
      <w:r>
        <w:rPr>
          <w:rFonts w:hint="eastAsia" w:ascii="仿宋" w:hAnsi="仿宋"/>
          <w:sz w:val="24"/>
          <w:szCs w:val="24"/>
        </w:rPr>
        <w:t>项目</w:t>
      </w:r>
      <w:bookmarkEnd w:id="0"/>
      <w:r>
        <w:rPr>
          <w:rFonts w:hint="eastAsia" w:ascii="仿宋" w:hAnsi="仿宋"/>
          <w:sz w:val="24"/>
          <w:szCs w:val="24"/>
        </w:rPr>
        <w:t>概述</w:t>
      </w:r>
      <w:r>
        <w:rPr>
          <w:rFonts w:ascii="仿宋" w:hAnsi="仿宋"/>
          <w:sz w:val="24"/>
          <w:szCs w:val="24"/>
        </w:rPr>
        <w:tab/>
      </w:r>
      <w:bookmarkStart w:id="1" w:name="_Toc217446095"/>
    </w:p>
    <w:p>
      <w:pPr>
        <w:pStyle w:val="4"/>
        <w:tabs>
          <w:tab w:val="left" w:pos="6938"/>
        </w:tabs>
        <w:spacing w:line="400" w:lineRule="exact"/>
        <w:rPr>
          <w:rFonts w:ascii="仿宋" w:hAnsi="仿宋"/>
          <w:sz w:val="24"/>
          <w:szCs w:val="24"/>
        </w:rPr>
      </w:pPr>
      <w:r>
        <w:rPr>
          <w:rFonts w:hint="eastAsia" w:ascii="仿宋" w:hAnsi="仿宋"/>
          <w:sz w:val="24"/>
          <w:szCs w:val="24"/>
        </w:rPr>
        <w:t>1.项目概况：本项目共1个包，采购诊间支付系统。</w:t>
      </w:r>
    </w:p>
    <w:p>
      <w:pPr>
        <w:pStyle w:val="4"/>
        <w:tabs>
          <w:tab w:val="left" w:pos="6938"/>
        </w:tabs>
        <w:spacing w:line="400" w:lineRule="exact"/>
        <w:rPr>
          <w:rFonts w:ascii="仿宋" w:hAnsi="仿宋"/>
          <w:sz w:val="24"/>
          <w:szCs w:val="24"/>
        </w:rPr>
      </w:pPr>
      <w:r>
        <w:rPr>
          <w:rFonts w:hint="eastAsia" w:ascii="仿宋" w:hAnsi="仿宋"/>
          <w:sz w:val="24"/>
          <w:szCs w:val="24"/>
        </w:rPr>
        <w:t>2.标的名称及所属行业：</w:t>
      </w:r>
    </w:p>
    <w:tbl>
      <w:tblPr>
        <w:tblStyle w:val="7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013"/>
        <w:gridCol w:w="643"/>
        <w:gridCol w:w="660"/>
        <w:gridCol w:w="815"/>
        <w:gridCol w:w="790"/>
        <w:gridCol w:w="723"/>
        <w:gridCol w:w="795"/>
        <w:gridCol w:w="795"/>
        <w:gridCol w:w="796"/>
        <w:gridCol w:w="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404" w:type="pct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ascii="仿宋" w:hAnsi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cs="仿宋"/>
                <w:bCs/>
                <w:sz w:val="21"/>
                <w:szCs w:val="21"/>
              </w:rPr>
              <w:t>包号</w:t>
            </w:r>
          </w:p>
        </w:tc>
        <w:tc>
          <w:tcPr>
            <w:tcW w:w="594" w:type="pct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ascii="仿宋" w:hAnsi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cs="仿宋"/>
                <w:bCs/>
                <w:sz w:val="21"/>
                <w:szCs w:val="21"/>
              </w:rPr>
              <w:t>标的名称</w:t>
            </w:r>
          </w:p>
        </w:tc>
        <w:tc>
          <w:tcPr>
            <w:tcW w:w="377" w:type="pct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ascii="仿宋" w:hAnsi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cs="仿宋"/>
                <w:bCs/>
                <w:sz w:val="21"/>
                <w:szCs w:val="21"/>
              </w:rPr>
              <w:t>单位</w:t>
            </w:r>
          </w:p>
        </w:tc>
        <w:tc>
          <w:tcPr>
            <w:tcW w:w="387" w:type="pct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ascii="仿宋" w:hAnsi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cs="仿宋"/>
                <w:bCs/>
                <w:sz w:val="21"/>
                <w:szCs w:val="21"/>
              </w:rPr>
              <w:t>数量</w:t>
            </w:r>
          </w:p>
        </w:tc>
        <w:tc>
          <w:tcPr>
            <w:tcW w:w="478" w:type="pct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ascii="仿宋" w:hAnsi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cs="仿宋"/>
                <w:bCs/>
                <w:sz w:val="21"/>
                <w:szCs w:val="21"/>
              </w:rPr>
              <w:t>采购金额（万元）</w:t>
            </w:r>
          </w:p>
        </w:tc>
        <w:tc>
          <w:tcPr>
            <w:tcW w:w="463" w:type="pct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ascii="仿宋" w:hAnsi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cs="仿宋"/>
                <w:bCs/>
                <w:sz w:val="21"/>
                <w:szCs w:val="21"/>
              </w:rPr>
              <w:t>最高限价（万元）</w:t>
            </w:r>
          </w:p>
        </w:tc>
        <w:tc>
          <w:tcPr>
            <w:tcW w:w="424" w:type="pct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ascii="仿宋" w:hAnsi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cs="仿宋"/>
                <w:bCs/>
                <w:sz w:val="21"/>
                <w:szCs w:val="21"/>
              </w:rPr>
              <w:t>是否允许采购进口产品</w:t>
            </w:r>
          </w:p>
        </w:tc>
        <w:tc>
          <w:tcPr>
            <w:tcW w:w="466" w:type="pct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ascii="仿宋" w:hAnsi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cs="仿宋"/>
                <w:bCs/>
                <w:sz w:val="21"/>
                <w:szCs w:val="21"/>
              </w:rPr>
              <w:t>是否属于强制采购节能产品</w:t>
            </w:r>
          </w:p>
        </w:tc>
        <w:tc>
          <w:tcPr>
            <w:tcW w:w="466" w:type="pct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ascii="仿宋" w:hAnsi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cs="仿宋"/>
                <w:bCs/>
                <w:sz w:val="21"/>
                <w:szCs w:val="21"/>
              </w:rPr>
              <w:t>是否属于优先采购节能产品</w:t>
            </w:r>
          </w:p>
        </w:tc>
        <w:tc>
          <w:tcPr>
            <w:tcW w:w="467" w:type="pct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ascii="仿宋" w:hAnsi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cs="仿宋"/>
                <w:bCs/>
                <w:sz w:val="21"/>
                <w:szCs w:val="21"/>
              </w:rPr>
              <w:t>是否属于优先采购环境标志产品</w:t>
            </w:r>
          </w:p>
        </w:tc>
        <w:tc>
          <w:tcPr>
            <w:tcW w:w="467" w:type="pct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ascii="仿宋" w:hAnsi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cs="仿宋"/>
                <w:bCs/>
                <w:sz w:val="21"/>
                <w:szCs w:val="21"/>
              </w:rPr>
              <w:t>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404" w:type="pct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ascii="仿宋" w:hAnsi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cs="仿宋"/>
                <w:bCs/>
                <w:sz w:val="21"/>
                <w:szCs w:val="21"/>
              </w:rPr>
              <w:t>1</w:t>
            </w:r>
          </w:p>
        </w:tc>
        <w:tc>
          <w:tcPr>
            <w:tcW w:w="594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cs="仿宋"/>
                <w:sz w:val="21"/>
                <w:szCs w:val="21"/>
              </w:rPr>
              <w:t>诊间支付系统</w:t>
            </w:r>
          </w:p>
        </w:tc>
        <w:tc>
          <w:tcPr>
            <w:tcW w:w="377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cs="仿宋"/>
                <w:sz w:val="21"/>
                <w:szCs w:val="21"/>
              </w:rPr>
              <w:t>套</w:t>
            </w:r>
          </w:p>
        </w:tc>
        <w:tc>
          <w:tcPr>
            <w:tcW w:w="387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cs="仿宋"/>
                <w:sz w:val="21"/>
                <w:szCs w:val="21"/>
              </w:rPr>
              <w:t>1</w:t>
            </w:r>
          </w:p>
        </w:tc>
        <w:tc>
          <w:tcPr>
            <w:tcW w:w="478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cs="仿宋"/>
                <w:kern w:val="0"/>
                <w:sz w:val="21"/>
                <w:szCs w:val="21"/>
              </w:rPr>
              <w:t>30</w:t>
            </w:r>
          </w:p>
        </w:tc>
        <w:tc>
          <w:tcPr>
            <w:tcW w:w="463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cs="仿宋"/>
                <w:kern w:val="0"/>
                <w:sz w:val="21"/>
                <w:szCs w:val="21"/>
              </w:rPr>
              <w:t>30</w:t>
            </w:r>
          </w:p>
        </w:tc>
        <w:tc>
          <w:tcPr>
            <w:tcW w:w="424" w:type="pct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ascii="仿宋" w:hAnsi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cs="仿宋"/>
                <w:bCs/>
                <w:sz w:val="21"/>
                <w:szCs w:val="21"/>
              </w:rPr>
              <w:t>否</w:t>
            </w:r>
          </w:p>
        </w:tc>
        <w:tc>
          <w:tcPr>
            <w:tcW w:w="466" w:type="pct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ascii="仿宋" w:hAnsi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cs="仿宋"/>
                <w:bCs/>
                <w:sz w:val="21"/>
                <w:szCs w:val="21"/>
              </w:rPr>
              <w:t>否</w:t>
            </w:r>
          </w:p>
        </w:tc>
        <w:tc>
          <w:tcPr>
            <w:tcW w:w="466" w:type="pct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ascii="仿宋" w:hAnsi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cs="仿宋"/>
                <w:bCs/>
                <w:sz w:val="21"/>
                <w:szCs w:val="21"/>
              </w:rPr>
              <w:t>否</w:t>
            </w:r>
          </w:p>
        </w:tc>
        <w:tc>
          <w:tcPr>
            <w:tcW w:w="467" w:type="pct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ascii="仿宋" w:hAnsi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cs="仿宋"/>
                <w:bCs/>
                <w:sz w:val="21"/>
                <w:szCs w:val="21"/>
              </w:rPr>
              <w:t>否</w:t>
            </w:r>
          </w:p>
        </w:tc>
        <w:tc>
          <w:tcPr>
            <w:tcW w:w="467" w:type="pct"/>
            <w:vAlign w:val="center"/>
          </w:tcPr>
          <w:p>
            <w:pPr>
              <w:pStyle w:val="5"/>
              <w:spacing w:line="400" w:lineRule="exact"/>
              <w:ind w:firstLine="0"/>
              <w:rPr>
                <w:rFonts w:ascii="仿宋" w:hAnsi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cs="仿宋"/>
                <w:bCs/>
                <w:sz w:val="21"/>
                <w:szCs w:val="21"/>
              </w:rPr>
              <w:t>软件和信息技术服务业</w:t>
            </w:r>
          </w:p>
          <w:p>
            <w:pPr>
              <w:pStyle w:val="5"/>
              <w:spacing w:line="400" w:lineRule="exact"/>
              <w:ind w:firstLine="0"/>
              <w:jc w:val="center"/>
              <w:rPr>
                <w:rFonts w:ascii="仿宋" w:hAnsi="仿宋" w:cs="仿宋"/>
                <w:bCs/>
                <w:sz w:val="21"/>
                <w:szCs w:val="21"/>
              </w:rPr>
            </w:pPr>
          </w:p>
        </w:tc>
      </w:tr>
    </w:tbl>
    <w:p>
      <w:r>
        <w:rPr>
          <w:rFonts w:hint="eastAsia"/>
        </w:rPr>
        <w:t>注：若投标人的产品配置中有符合节能、环保及无线局域网产品政府采购政策的产品，须提供对应的有效证书复印件（清单详见附件四—六）。</w:t>
      </w:r>
    </w:p>
    <w:p>
      <w:pPr>
        <w:pStyle w:val="4"/>
        <w:spacing w:line="400" w:lineRule="exact"/>
        <w:rPr>
          <w:rFonts w:ascii="仿宋" w:hAnsi="仿宋"/>
          <w:sz w:val="24"/>
          <w:szCs w:val="24"/>
        </w:rPr>
      </w:pPr>
      <w:r>
        <w:rPr>
          <w:rFonts w:hint="eastAsia" w:ascii="仿宋" w:hAnsi="仿宋"/>
          <w:sz w:val="24"/>
          <w:szCs w:val="24"/>
        </w:rPr>
        <w:t>二、商务要求</w:t>
      </w:r>
    </w:p>
    <w:p>
      <w:pPr>
        <w:rPr>
          <w:rFonts w:ascii="仿宋" w:hAnsi="仿宋" w:cs="仿宋"/>
        </w:rPr>
      </w:pPr>
      <w:r>
        <w:rPr>
          <w:rFonts w:hint="eastAsia" w:ascii="仿宋" w:hAnsi="仿宋" w:cs="仿宋"/>
        </w:rPr>
        <w:t>★1.完成时间及地点</w:t>
      </w:r>
    </w:p>
    <w:p>
      <w:pPr>
        <w:rPr>
          <w:rFonts w:ascii="仿宋" w:hAnsi="仿宋" w:cs="仿宋"/>
        </w:rPr>
      </w:pPr>
      <w:r>
        <w:rPr>
          <w:rFonts w:hint="eastAsia" w:ascii="仿宋" w:hAnsi="仿宋" w:cs="仿宋"/>
        </w:rPr>
        <w:t>1.1 完成时间：合同签订生效之日起，45天内交付产品。</w:t>
      </w:r>
    </w:p>
    <w:p>
      <w:pPr>
        <w:rPr>
          <w:rFonts w:ascii="仿宋" w:hAnsi="仿宋" w:cs="仿宋"/>
        </w:rPr>
      </w:pPr>
      <w:r>
        <w:rPr>
          <w:rFonts w:hint="eastAsia" w:ascii="仿宋" w:hAnsi="仿宋" w:cs="仿宋"/>
        </w:rPr>
        <w:t>1.2 完成地点: 四川护理职业学院附属医院（四川省第三人民医院）采购人指定地点。</w:t>
      </w:r>
    </w:p>
    <w:p>
      <w:pPr>
        <w:rPr>
          <w:rFonts w:ascii="仿宋" w:hAnsi="仿宋" w:cs="仿宋"/>
        </w:rPr>
      </w:pPr>
      <w:r>
        <w:rPr>
          <w:rFonts w:hint="eastAsia" w:ascii="仿宋" w:hAnsi="仿宋" w:cs="仿宋"/>
        </w:rPr>
        <w:t>2.售后服务要求：</w:t>
      </w:r>
    </w:p>
    <w:p>
      <w:pPr>
        <w:rPr>
          <w:rFonts w:ascii="仿宋" w:hAnsi="仿宋" w:cs="仿宋"/>
        </w:rPr>
      </w:pPr>
      <w:r>
        <w:rPr>
          <w:rFonts w:hint="eastAsia" w:ascii="仿宋" w:hAnsi="仿宋" w:cs="仿宋"/>
        </w:rPr>
        <w:t>★2.1软件产品上线之日起1年内提供系统运维、培训等服务。</w:t>
      </w:r>
    </w:p>
    <w:p>
      <w:pPr>
        <w:rPr>
          <w:rFonts w:ascii="仿宋" w:hAnsi="仿宋" w:cs="仿宋"/>
        </w:rPr>
      </w:pPr>
      <w:r>
        <w:rPr>
          <w:rFonts w:hint="eastAsia" w:ascii="仿宋" w:hAnsi="仿宋" w:cs="仿宋"/>
        </w:rPr>
        <w:t>★2.2智能硬件、设备类产品，质保期为验收合格之日起1年。</w:t>
      </w:r>
    </w:p>
    <w:p>
      <w:pPr>
        <w:rPr>
          <w:rFonts w:ascii="仿宋" w:hAnsi="仿宋" w:cs="仿宋"/>
        </w:rPr>
      </w:pPr>
      <w:r>
        <w:rPr>
          <w:rFonts w:hint="eastAsia" w:ascii="仿宋" w:hAnsi="仿宋" w:cs="仿宋"/>
        </w:rPr>
        <w:t>★2.3中标人应及时解决系统各种问题。当软件或数据存储出现任何问题时，应保证在法定工作时间内2小时、非法定工作时间内6小时作出远程响应。当远程响应无法解决故障，48小时内会派出维修人员到现场排除故障，直到系统正常运行。</w:t>
      </w:r>
    </w:p>
    <w:p>
      <w:pPr>
        <w:rPr>
          <w:rFonts w:ascii="仿宋" w:hAnsi="仿宋" w:cs="仿宋"/>
        </w:rPr>
      </w:pPr>
      <w:r>
        <w:rPr>
          <w:rFonts w:hint="eastAsia" w:ascii="仿宋" w:hAnsi="仿宋" w:cs="仿宋"/>
        </w:rPr>
        <w:t>2.4培训要求：中标人必须对操作人员进行培训，并保证正常使用。</w:t>
      </w:r>
    </w:p>
    <w:p>
      <w:pPr>
        <w:rPr>
          <w:rFonts w:ascii="仿宋" w:hAnsi="仿宋" w:cs="仿宋"/>
        </w:rPr>
      </w:pPr>
      <w:r>
        <w:rPr>
          <w:rFonts w:hint="eastAsia" w:ascii="仿宋" w:hAnsi="仿宋" w:cs="仿宋"/>
        </w:rPr>
        <w:t>★3.付款方法和条件：政府采购合同签订后，中标人开具合格票据，五个工作日内支付40%的预付款，项目验收合格且发票开具后十个工作日内支付剩余60%的合同款。</w:t>
      </w:r>
    </w:p>
    <w:p>
      <w:pPr>
        <w:pStyle w:val="4"/>
        <w:spacing w:line="400" w:lineRule="exact"/>
        <w:rPr>
          <w:rFonts w:ascii="仿宋" w:hAnsi="仿宋"/>
          <w:sz w:val="36"/>
          <w:szCs w:val="36"/>
        </w:rPr>
      </w:pPr>
      <w:r>
        <w:rPr>
          <w:rFonts w:hint="eastAsia" w:ascii="仿宋" w:hAnsi="仿宋"/>
          <w:sz w:val="24"/>
          <w:szCs w:val="24"/>
        </w:rPr>
        <w:t>三、技术、服务要求</w:t>
      </w:r>
      <w:bookmarkEnd w:id="1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833"/>
        <w:gridCol w:w="6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产品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功能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具体描述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0" w:type="auto"/>
            <w:vMerge w:val="restart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诊间扫码支付软件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导诊单打印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1.门诊医生工作站导诊单打印:</w:t>
            </w:r>
          </w:p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门诊医生在完成医嘱录入后，HIS系统自动打印导诊单，导诊单内容包含医嘱金额、患者基本信息、医嘱名称、支付二维码，支持在处方签或检验检查申请单上打印二维码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0" w:type="auto"/>
            <w:vMerge w:val="continue"/>
            <w:vAlign w:val="center"/>
          </w:tcPr>
          <w:p>
            <w:pPr>
              <w:rPr>
                <w:rFonts w:ascii="仿宋" w:hAnsi="仿宋" w:cs="仿宋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诊间扫码支付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●</w:t>
            </w:r>
            <w:r>
              <w:rPr>
                <w:rFonts w:hint="eastAsia" w:ascii="仿宋" w:hAnsi="仿宋" w:cs="仿宋"/>
              </w:rPr>
              <w:t>2.患者扫码后可查看缴费清单、待缴费医嘱明细；患者基本信息、开单医生信息、开单时间信息。（提供现场演示）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0" w:type="auto"/>
            <w:vMerge w:val="continue"/>
          </w:tcPr>
          <w:p>
            <w:pPr>
              <w:rPr>
                <w:rFonts w:ascii="仿宋" w:hAnsi="仿宋" w:cs="仿宋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="仿宋" w:hAnsi="仿宋" w:cs="仿宋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●</w:t>
            </w:r>
            <w:r>
              <w:rPr>
                <w:rFonts w:hint="eastAsia" w:ascii="仿宋" w:hAnsi="仿宋" w:cs="仿宋"/>
              </w:rPr>
              <w:t>3.微信扫码支付</w:t>
            </w:r>
          </w:p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患者使用微信APP"扫一扫"功能，扫描导诊单上的二维码，进行支付（提供现场演示）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0" w:type="auto"/>
            <w:vMerge w:val="continue"/>
          </w:tcPr>
          <w:p>
            <w:pPr>
              <w:rPr>
                <w:rFonts w:ascii="仿宋" w:hAnsi="仿宋" w:cs="仿宋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="仿宋" w:hAnsi="仿宋" w:cs="仿宋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●</w:t>
            </w:r>
            <w:r>
              <w:rPr>
                <w:rFonts w:hint="eastAsia" w:ascii="仿宋" w:hAnsi="仿宋" w:cs="仿宋"/>
              </w:rPr>
              <w:t>4.支付宝扫码支付</w:t>
            </w:r>
          </w:p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患者使用支付宝APP"扫一扫"功能，扫描导诊单上的二维码，进行支付（提供现场演示）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0" w:type="auto"/>
            <w:vMerge w:val="continue"/>
          </w:tcPr>
          <w:p>
            <w:pPr>
              <w:rPr>
                <w:rFonts w:ascii="仿宋" w:hAnsi="仿宋" w:cs="仿宋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="仿宋" w:hAnsi="仿宋" w:cs="仿宋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5.医保支付</w:t>
            </w:r>
          </w:p>
          <w:p>
            <w:pPr>
              <w:pStyle w:val="2"/>
              <w:rPr>
                <w:rFonts w:ascii="仿宋" w:hAnsi="仿宋" w:cs="仿宋"/>
                <w:szCs w:val="24"/>
              </w:rPr>
            </w:pPr>
            <w:r>
              <w:rPr>
                <w:rFonts w:hint="eastAsia" w:ascii="仿宋" w:hAnsi="仿宋" w:cs="仿宋"/>
                <w:szCs w:val="24"/>
              </w:rPr>
              <w:t>患者使用支付宝APP“扫一扫”功能，扫描导诊单上的二维码，进行支付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0" w:type="auto"/>
            <w:vMerge w:val="continue"/>
          </w:tcPr>
          <w:p>
            <w:pPr>
              <w:rPr>
                <w:rFonts w:ascii="仿宋" w:hAnsi="仿宋" w:cs="仿宋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电子导诊单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●</w:t>
            </w:r>
            <w:r>
              <w:rPr>
                <w:rFonts w:hint="eastAsia" w:ascii="仿宋" w:hAnsi="仿宋" w:cs="仿宋"/>
              </w:rPr>
              <w:t>6.电子导诊单</w:t>
            </w:r>
          </w:p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当患者扫码支付完成后可以获取电子导诊单，当患者再次扫描二维码，如已支付，直接跳转至电子导诊单页面，可查询患者基本信息、取药信息、检查检验信息。（提供现场演示）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0" w:type="auto"/>
            <w:vMerge w:val="continue"/>
          </w:tcPr>
          <w:p>
            <w:pPr>
              <w:rPr>
                <w:rFonts w:ascii="仿宋" w:hAnsi="仿宋" w:cs="仿宋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多码合一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7.不同支付途径可扫描同一个二维码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0" w:type="auto"/>
            <w:vMerge w:val="continue"/>
          </w:tcPr>
          <w:p>
            <w:pPr>
              <w:rPr>
                <w:rFonts w:ascii="仿宋" w:hAnsi="仿宋" w:cs="仿宋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诊间支付对账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8.自动对比医院核心系统和交易核心系统账单</w:t>
            </w:r>
          </w:p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 xml:space="preserve">8.1在交易日T+1之后，自动对比医院核心系统和交易核心系统交易数据，筛选出差异。出现单边账的情况支持发起原路退款。 </w:t>
            </w:r>
          </w:p>
          <w:p>
            <w:pPr>
              <w:rPr>
                <w:rFonts w:ascii="仿宋" w:hAnsi="仿宋" w:cs="仿宋"/>
              </w:rPr>
            </w:pP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●</w:t>
            </w:r>
            <w:r>
              <w:rPr>
                <w:rFonts w:hint="eastAsia" w:ascii="仿宋" w:hAnsi="仿宋" w:cs="仿宋"/>
              </w:rPr>
              <w:t>8.2支持实时查询诊间支付订单状态，包含订单支付状态（待支付、已支付）（提供现场演示）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0" w:type="auto"/>
            <w:vMerge w:val="continue"/>
          </w:tcPr>
          <w:p>
            <w:pPr>
              <w:rPr>
                <w:rFonts w:ascii="仿宋" w:hAnsi="仿宋" w:cs="仿宋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电子票据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9.支持直接扫描二维码即可跳转下载，不需要再填写票据信息等负责过程，与采购人已有电子票据程序对接。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0" w:type="auto"/>
            <w:vMerge w:val="continue"/>
          </w:tcPr>
          <w:p>
            <w:pPr>
              <w:rPr>
                <w:rFonts w:ascii="仿宋" w:hAnsi="仿宋" w:cs="仿宋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其他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10.后续医保政策打开，需开通医保支付，在选择支付方式时增加医保支付方式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0" w:type="auto"/>
            <w:gridSpan w:val="3"/>
          </w:tcPr>
          <w:p>
            <w:pPr>
              <w:ind w:firstLine="480" w:firstLineChars="200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11.★与采购人HIS系统接口费用，由中标公司负责全部承担。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7BF54B"/>
    <w:multiLevelType w:val="singleLevel"/>
    <w:tmpl w:val="FB7BF54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MWM2ZTZmMDY1YWI2NzY0NzVhMzJiYzY3NjYwMGQifQ=="/>
  </w:docVars>
  <w:rsids>
    <w:rsidRoot w:val="14B03FAA"/>
    <w:rsid w:val="14B0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</w:pPr>
    <w:rPr>
      <w:rFonts w:ascii="Times New Roman" w:hAnsi="Times New Roman" w:eastAsia="仿宋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44"/>
      <w:szCs w:val="20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szCs w:val="20"/>
    </w:rPr>
  </w:style>
  <w:style w:type="paragraph" w:styleId="5">
    <w:name w:val="Normal Indent"/>
    <w:basedOn w:val="1"/>
    <w:qFormat/>
    <w:uiPriority w:val="0"/>
    <w:pPr>
      <w:autoSpaceDE w:val="0"/>
      <w:autoSpaceDN w:val="0"/>
      <w:adjustRightInd w:val="0"/>
      <w:ind w:firstLine="420"/>
    </w:pPr>
    <w:rPr>
      <w:rFonts w:ascii="宋体"/>
      <w:kern w:val="0"/>
      <w:szCs w:val="20"/>
    </w:rPr>
  </w:style>
  <w:style w:type="table" w:styleId="7">
    <w:name w:val="Table Grid"/>
    <w:basedOn w:val="6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2023-02-28T04:53:00Z</dcterms:created>
  <dc:creator>默--</dc:creator>
  <cp:lastModifiedBy>默--</cp:lastModifiedBy>
  <dcterms:modified xsi:type="dcterms:W3CDTF">2023-02-28T04:54:19Z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846E8492D9DF44AAB0AD21DC5684685E</vt:lpwstr>
  </property>
</Properties>
</file>