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uto"/>
        <w:rPr>
          <w:rFonts w:hint="eastAsia" w:ascii="仿宋" w:hAnsi="仿宋" w:eastAsia="仿宋"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仿宋" w:hAnsi="仿宋"/>
          <w:color w:val="auto"/>
          <w:sz w:val="36"/>
          <w:szCs w:val="36"/>
          <w:highlight w:val="none"/>
          <w:lang w:eastAsia="zh-CN"/>
        </w:rPr>
        <w:t>招标项目技术、服务、商务及其他要求</w:t>
      </w:r>
    </w:p>
    <w:p>
      <w:pPr>
        <w:pStyle w:val="5"/>
        <w:spacing w:line="400" w:lineRule="exact"/>
        <w:rPr>
          <w:rFonts w:hint="eastAsia" w:ascii="仿宋" w:hAnsi="仿宋"/>
          <w:color w:val="auto"/>
          <w:sz w:val="24"/>
          <w:szCs w:val="24"/>
          <w:highlight w:val="none"/>
        </w:rPr>
      </w:pPr>
      <w:bookmarkStart w:id="0" w:name="_Toc217446094"/>
      <w:r>
        <w:rPr>
          <w:rFonts w:hint="eastAsia" w:ascii="仿宋" w:hAnsi="仿宋"/>
          <w:color w:val="auto"/>
          <w:sz w:val="24"/>
          <w:szCs w:val="24"/>
          <w:highlight w:val="none"/>
        </w:rPr>
        <w:t>前提：本章中标注“</w:t>
      </w:r>
      <w:r>
        <w:rPr>
          <w:rFonts w:hint="eastAsia" w:ascii="仿宋" w:hAnsi="仿宋" w:cs="宋体"/>
          <w:color w:val="auto"/>
          <w:sz w:val="21"/>
          <w:szCs w:val="21"/>
          <w:highlight w:val="none"/>
        </w:rPr>
        <w:t>★</w:t>
      </w:r>
      <w:r>
        <w:rPr>
          <w:rFonts w:hint="eastAsia" w:ascii="仿宋" w:hAnsi="仿宋"/>
          <w:color w:val="auto"/>
          <w:sz w:val="24"/>
          <w:szCs w:val="24"/>
          <w:highlight w:val="none"/>
        </w:rPr>
        <w:t>”的条款为本项目的实质性条款，投标人不满足的，将按照无效投标处理。</w:t>
      </w:r>
    </w:p>
    <w:p>
      <w:pPr>
        <w:rPr>
          <w:color w:val="auto"/>
          <w:highlight w:val="none"/>
        </w:rPr>
      </w:pPr>
    </w:p>
    <w:p>
      <w:pPr>
        <w:pStyle w:val="5"/>
        <w:numPr>
          <w:ilvl w:val="0"/>
          <w:numId w:val="1"/>
        </w:numPr>
        <w:tabs>
          <w:tab w:val="left" w:pos="6938"/>
        </w:tabs>
        <w:spacing w:line="400" w:lineRule="exact"/>
        <w:rPr>
          <w:rFonts w:ascii="仿宋" w:hAnsi="仿宋"/>
          <w:color w:val="auto"/>
          <w:sz w:val="24"/>
          <w:szCs w:val="24"/>
          <w:highlight w:val="none"/>
        </w:rPr>
      </w:pPr>
      <w:r>
        <w:rPr>
          <w:rFonts w:hint="eastAsia" w:ascii="仿宋" w:hAnsi="仿宋"/>
          <w:color w:val="auto"/>
          <w:sz w:val="24"/>
          <w:szCs w:val="24"/>
          <w:highlight w:val="none"/>
        </w:rPr>
        <w:t>项目</w:t>
      </w:r>
      <w:bookmarkEnd w:id="0"/>
      <w:r>
        <w:rPr>
          <w:rFonts w:hint="eastAsia" w:ascii="仿宋" w:hAnsi="仿宋"/>
          <w:color w:val="auto"/>
          <w:sz w:val="24"/>
          <w:szCs w:val="24"/>
          <w:highlight w:val="none"/>
          <w:lang w:val="en-US" w:eastAsia="zh-CN"/>
        </w:rPr>
        <w:t>概述</w:t>
      </w:r>
      <w:r>
        <w:rPr>
          <w:rFonts w:ascii="仿宋" w:hAnsi="仿宋"/>
          <w:color w:val="auto"/>
          <w:sz w:val="24"/>
          <w:szCs w:val="24"/>
          <w:highlight w:val="none"/>
        </w:rPr>
        <w:tab/>
      </w:r>
      <w:bookmarkStart w:id="1" w:name="_Toc217446095"/>
    </w:p>
    <w:p>
      <w:pPr>
        <w:pStyle w:val="5"/>
        <w:numPr>
          <w:ilvl w:val="0"/>
          <w:numId w:val="0"/>
        </w:numPr>
        <w:tabs>
          <w:tab w:val="left" w:pos="6938"/>
        </w:tabs>
        <w:spacing w:line="400" w:lineRule="exact"/>
        <w:rPr>
          <w:rFonts w:hint="default" w:ascii="仿宋" w:hAnsi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/>
          <w:color w:val="auto"/>
          <w:sz w:val="24"/>
          <w:szCs w:val="24"/>
          <w:highlight w:val="none"/>
          <w:lang w:val="en-US" w:eastAsia="zh-CN"/>
        </w:rPr>
        <w:t>1.项目概况：本项目共1个包，采购</w:t>
      </w:r>
      <w:r>
        <w:rPr>
          <w:rFonts w:hint="default" w:ascii="仿宋_GB2312" w:hAnsi="Times New Roman" w:eastAsia="仿宋_GB2312"/>
          <w:color w:val="000000"/>
          <w:sz w:val="24"/>
          <w:szCs w:val="24"/>
          <w:lang w:val="en-US" w:eastAsia="zh-CN"/>
        </w:rPr>
        <w:t>社区全生命周期管理系统</w:t>
      </w:r>
      <w:r>
        <w:rPr>
          <w:rFonts w:hint="eastAsia" w:ascii="仿宋" w:hAnsi="仿宋"/>
          <w:color w:val="auto"/>
          <w:sz w:val="24"/>
          <w:szCs w:val="24"/>
          <w:highlight w:val="none"/>
          <w:lang w:val="en-US" w:eastAsia="zh-CN"/>
        </w:rPr>
        <w:t>。</w:t>
      </w:r>
    </w:p>
    <w:p>
      <w:pPr>
        <w:pStyle w:val="5"/>
        <w:numPr>
          <w:ilvl w:val="0"/>
          <w:numId w:val="0"/>
        </w:numPr>
        <w:tabs>
          <w:tab w:val="left" w:pos="6938"/>
        </w:tabs>
        <w:spacing w:line="400" w:lineRule="exact"/>
        <w:rPr>
          <w:rFonts w:hint="eastAsia" w:ascii="仿宋" w:hAnsi="仿宋"/>
          <w:color w:val="auto"/>
          <w:sz w:val="24"/>
          <w:szCs w:val="24"/>
          <w:highlight w:val="none"/>
        </w:rPr>
      </w:pPr>
      <w:r>
        <w:rPr>
          <w:rFonts w:hint="eastAsia" w:ascii="仿宋" w:hAnsi="仿宋"/>
          <w:color w:val="auto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="仿宋" w:hAnsi="仿宋"/>
          <w:color w:val="auto"/>
          <w:sz w:val="24"/>
          <w:szCs w:val="24"/>
          <w:highlight w:val="none"/>
        </w:rPr>
        <w:t>标的名称及所属行业：</w:t>
      </w:r>
      <w:bookmarkStart w:id="2" w:name="_GoBack"/>
      <w:bookmarkEnd w:id="2"/>
    </w:p>
    <w:tbl>
      <w:tblPr>
        <w:tblStyle w:val="8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013"/>
        <w:gridCol w:w="643"/>
        <w:gridCol w:w="660"/>
        <w:gridCol w:w="815"/>
        <w:gridCol w:w="790"/>
        <w:gridCol w:w="723"/>
        <w:gridCol w:w="795"/>
        <w:gridCol w:w="795"/>
        <w:gridCol w:w="796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404" w:type="pct"/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包号</w:t>
            </w:r>
          </w:p>
        </w:tc>
        <w:tc>
          <w:tcPr>
            <w:tcW w:w="594" w:type="pct"/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  <w:t>标的名称</w:t>
            </w:r>
          </w:p>
        </w:tc>
        <w:tc>
          <w:tcPr>
            <w:tcW w:w="377" w:type="pct"/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单位</w:t>
            </w:r>
          </w:p>
        </w:tc>
        <w:tc>
          <w:tcPr>
            <w:tcW w:w="387" w:type="pct"/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数量</w:t>
            </w:r>
          </w:p>
        </w:tc>
        <w:tc>
          <w:tcPr>
            <w:tcW w:w="478" w:type="pct"/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采购金额（万元）</w:t>
            </w:r>
          </w:p>
        </w:tc>
        <w:tc>
          <w:tcPr>
            <w:tcW w:w="463" w:type="pct"/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最高限价（万元）</w:t>
            </w:r>
          </w:p>
        </w:tc>
        <w:tc>
          <w:tcPr>
            <w:tcW w:w="424" w:type="pct"/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是否允许采购进口产品</w:t>
            </w:r>
          </w:p>
        </w:tc>
        <w:tc>
          <w:tcPr>
            <w:tcW w:w="466" w:type="pct"/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  <w:t>是否属于强制采购节能产品</w:t>
            </w:r>
          </w:p>
        </w:tc>
        <w:tc>
          <w:tcPr>
            <w:tcW w:w="466" w:type="pct"/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  <w:t>是否属于优先采购节能产品</w:t>
            </w:r>
          </w:p>
        </w:tc>
        <w:tc>
          <w:tcPr>
            <w:tcW w:w="467" w:type="pct"/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  <w:t>是否属于优先采购环境标志产品</w:t>
            </w:r>
          </w:p>
        </w:tc>
        <w:tc>
          <w:tcPr>
            <w:tcW w:w="467" w:type="pct"/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  <w:t>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404" w:type="pct"/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社区全生命周期管理系统</w:t>
            </w:r>
          </w:p>
        </w:tc>
        <w:tc>
          <w:tcPr>
            <w:tcW w:w="3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套</w:t>
            </w:r>
          </w:p>
        </w:tc>
        <w:tc>
          <w:tcPr>
            <w:tcW w:w="3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4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4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424" w:type="pct"/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否</w:t>
            </w:r>
          </w:p>
        </w:tc>
        <w:tc>
          <w:tcPr>
            <w:tcW w:w="466" w:type="pct"/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否</w:t>
            </w:r>
          </w:p>
        </w:tc>
        <w:tc>
          <w:tcPr>
            <w:tcW w:w="466" w:type="pct"/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否</w:t>
            </w:r>
          </w:p>
        </w:tc>
        <w:tc>
          <w:tcPr>
            <w:tcW w:w="467" w:type="pct"/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否</w:t>
            </w:r>
          </w:p>
        </w:tc>
        <w:tc>
          <w:tcPr>
            <w:tcW w:w="467" w:type="pct"/>
            <w:vAlign w:val="center"/>
          </w:tcPr>
          <w:p>
            <w:pPr>
              <w:pStyle w:val="6"/>
              <w:spacing w:line="400" w:lineRule="exact"/>
              <w:ind w:firstLine="0" w:firstLineChars="0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  <w:t>软件和信息技术服务业</w:t>
            </w:r>
          </w:p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</w:tbl>
    <w:p>
      <w:pPr>
        <w:bidi w:val="0"/>
        <w:rPr>
          <w:rFonts w:hint="default" w:eastAsia="仿宋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注：若投标人的产品配置中有符合节能、环保及无线局域网产品政府采购政策的产品，须提供对应的有效证书复印件（清单详见附件四—六）。</w:t>
      </w:r>
    </w:p>
    <w:p>
      <w:pPr>
        <w:pStyle w:val="5"/>
        <w:spacing w:line="400" w:lineRule="exact"/>
        <w:rPr>
          <w:rFonts w:ascii="仿宋" w:hAnsi="仿宋"/>
          <w:color w:val="auto"/>
          <w:sz w:val="24"/>
          <w:szCs w:val="24"/>
          <w:highlight w:val="none"/>
        </w:rPr>
      </w:pPr>
      <w:r>
        <w:rPr>
          <w:rFonts w:hint="eastAsia" w:ascii="仿宋" w:hAnsi="仿宋"/>
          <w:color w:val="auto"/>
          <w:sz w:val="24"/>
          <w:szCs w:val="24"/>
          <w:highlight w:val="none"/>
          <w:lang w:val="en-US" w:eastAsia="zh-CN"/>
        </w:rPr>
        <w:t>二、</w:t>
      </w:r>
      <w:r>
        <w:rPr>
          <w:rFonts w:hint="eastAsia" w:ascii="仿宋" w:hAnsi="仿宋"/>
          <w:color w:val="auto"/>
          <w:sz w:val="24"/>
          <w:szCs w:val="24"/>
          <w:highlight w:val="none"/>
        </w:rPr>
        <w:t>商务要求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★1.完成时间及地点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1.1 完成时间：合同签订生效之日起，</w:t>
      </w:r>
      <w:r>
        <w:rPr>
          <w:rFonts w:hint="eastAsia" w:ascii="仿宋" w:hAnsi="仿宋" w:cs="仿宋"/>
          <w:sz w:val="24"/>
          <w:szCs w:val="24"/>
          <w:lang w:val="en-US" w:eastAsia="zh-CN"/>
        </w:rPr>
        <w:t>45</w:t>
      </w:r>
      <w:r>
        <w:rPr>
          <w:rFonts w:hint="eastAsia" w:ascii="仿宋" w:hAnsi="仿宋" w:eastAsia="仿宋" w:cs="仿宋"/>
          <w:sz w:val="24"/>
          <w:szCs w:val="24"/>
        </w:rPr>
        <w:t>天内交付产品。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1.2 完成地点: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四川护理职业学院附属医院（四川省第三人民医院）采购人指定地点。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2.售后服务要求：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★2.1软件产品上线之日起</w:t>
      </w:r>
      <w:r>
        <w:rPr>
          <w:rFonts w:hint="eastAsia" w:ascii="仿宋" w:hAnsi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年内提供系统运维、培训等服务。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★2.2智能硬件、设备类产品，质保期为验收合格之日起</w:t>
      </w:r>
      <w:r>
        <w:rPr>
          <w:rFonts w:hint="eastAsia" w:ascii="仿宋" w:hAnsi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年。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★2.3中标人应及时解决系统各种问题。当软件或数据存储出现任何问题时，应保证在法定工作时间内2小时、非法定工作时间内6小时作出远程响应。当远程响应无法解决故障，48小时内会派出维修人员到现场排除故障，直到系统正常运行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2.4培训要求：中标人必须对操作人员进行培训，并保证正常使用。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★3.付款方法和条件：政府采购合同签订后，中标人开具合格票据，五个工作日内支付40%的预付款，项目验收合格且发票开具后十个工作日内支付剩余60%的合同款。</w:t>
      </w:r>
    </w:p>
    <w:p>
      <w:pPr>
        <w:pStyle w:val="5"/>
        <w:spacing w:line="400" w:lineRule="exact"/>
        <w:rPr>
          <w:rFonts w:hint="eastAsia" w:ascii="仿宋" w:hAnsi="仿宋"/>
          <w:color w:val="auto"/>
          <w:sz w:val="36"/>
          <w:szCs w:val="36"/>
          <w:highlight w:val="none"/>
        </w:rPr>
      </w:pPr>
      <w:r>
        <w:rPr>
          <w:rFonts w:hint="eastAsia" w:ascii="仿宋" w:hAnsi="仿宋"/>
          <w:color w:val="auto"/>
          <w:sz w:val="24"/>
          <w:szCs w:val="24"/>
          <w:highlight w:val="none"/>
          <w:lang w:val="en-US" w:eastAsia="zh-CN"/>
        </w:rPr>
        <w:t>三</w:t>
      </w:r>
      <w:r>
        <w:rPr>
          <w:rFonts w:hint="eastAsia" w:ascii="仿宋" w:hAnsi="仿宋"/>
          <w:color w:val="auto"/>
          <w:sz w:val="24"/>
          <w:szCs w:val="24"/>
          <w:highlight w:val="none"/>
        </w:rPr>
        <w:t>、技术、服务要求</w:t>
      </w:r>
      <w:bookmarkEnd w:id="1"/>
    </w:p>
    <w:tbl>
      <w:tblPr>
        <w:tblStyle w:val="7"/>
        <w:tblW w:w="915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309"/>
        <w:gridCol w:w="66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功能名称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分类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0" w:firstLineChars="10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信息采集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采集个人基本信息表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1、通过刷居民身份证或医保卡实现个人身份专属识别号。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图像采集（带时间水印）确保人证合一。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3、刷身份证可自动获取个人基本信息，如人员类型等。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采集血压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软件应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与血压计连接，测量后数据自动上传至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2.自动提醒血压是否偏高。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采集身高体重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软件应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与身高体重秤连接，身高体重测量后数据自动上传至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2.BMI根据身高体重自动计算。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3.自动提醒超重、肥胖等信息。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4.加载历史身高体重及腰围数据。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采集心电图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/>
                <w:lang w:val="en-US" w:eastAsia="zh-CN"/>
              </w:rPr>
              <w:t>软件应包含心电数据及图像采集及处理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2.扫码后心电图机自动加载性别年龄等信息。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软件应包含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自动生成心电辅助诊断，并支持人工审核心电图并下诊断结论。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4.测量心电图时自动加载往年心电结论。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采集B超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1.B超工作站可根据性别、年龄自动加载检查模块，例如男性不需加载妇科，女性不需加载前列腺。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2.模板可支持修改功能。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3.加载历史结论。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问诊、触诊、听诊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1.包含一般情况、生活方式、查体信息、辅助检查、现存主要问题、住院用药情况等模块。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2.对于所有项目可设置必填选项，必填项进行标识提醒。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3.对于重复性录入内容可自动填充。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4.用药情况设置常用药品库，并通过药品首字母进行检索添加。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5.根据体检数据自动评判并填充健康评价异常信息内容。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6.根据体检情况自动勾选填充健康指导内容。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7.包含肺结核筛查功能。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8.自动加载历史数据，提高工作效率及数据延展性。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9.自理能力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中医体质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1.信息化采集中医体质辨识问题。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2.自动分析符合国家标准的中医体质辨识结论。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3.根据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该软件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采集完BMI和腰围后自动填写中医体质辨识中的问题。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4.中医体质辨识出现结论互斥时提醒功能。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质控检测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1、数据完整性，将采集模块采集的所有数据全部上传公卫平台，不存在缺项漏项等情况，如存在缺项漏项情况，现场系统会自动提示。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2、数据逻辑性，体检采集的数据及生成的健康评价等数据不得存在逻辑性错误。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3、要求必须跟整个服务过程联动。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0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系统功能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1、台账系统：采集信息完成后，需要按机构出具台账，通过台账可以查看查体人的具体信息，包括身份证号、性别、年龄、联系电话等信息。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体检报告系统：采集模块完成后，针对每一个体检人员出具纸质体检报告，根据体检报告的具体内容，智能分析，并个性化的给出体检建议。例如针对血压高的人出具降血压的建议，针对血糖高的人出具降血糖的建议。体检报告需要封面，外观整洁大方，突出公共卫生及健康主题。异常标识，报告中的异常的数据需要醒目标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3、体检档案系统：信息传输模块完成后，出具符合公卫要求的纸质体检档案，档案上的信息需要与公卫平台上传上的数据必须一致。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数据分析报告系统：具备识别与智能分析功能，自动识别体检中高危人群，例如对血压、血糖、心电图、B超等存在异常人群自动分析并出具报表。对于各街道工作进展的信息，需提供各类统计报表，如按天统计各街道的工作进度情况等，并以图形的方式展现出来（如饼形图、柱状图），供相关领导查看以提供决策依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家庭医生慢病（可通过APP访问）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1、工作提醒：高血压、糖尿病随访提醒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2、家医签约：家医签约、履约、统计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3、高糖管理：高血压、糖尿病档案管理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4、居民档案：基础信息管理、检测数据统计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5、工作统计：家医统计、慢病统计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6、设备管理：血压计、血糖仪、体脂称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7、数据质控：服务反馈、逻辑、完整性校验、加载历史加载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8、账号管理：签名维护、密码修改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9、版本管理：自动升级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系统对接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公卫平台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1.数据能集成、保存、自动生成，可将信息采集模块采集的数据，使用信息化的技术手段按照招标人要求上传到公卫平台。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2.上传接口不局限于WebService、Http等方式。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3.确定所传数据符合公共卫生考核要求，不存在缺项漏项、逻辑判断错误等情况。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4.数据一致性，体检档案必须与采集的数据保持一致性。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5.上传及时性，采集模块采集完成后，需在2周内上传到公卫平台。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与社区HIS、LIS、PACS系统双向交互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1、可对接多方社区使用系统，将相关数据提取、整合、上传、交互。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运营管理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★1、运营服务软件管理用户信息、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信息及相关配置、数据审核功能、在线修改功能、工作流程提醒。主要包括的功能有：用户管理、角色权限管理、机构信息管理、机构配置、医生签名管理、报告审核、档案审核、体检移库存档、中医体制审核、心电审核、体检在线修改、物流管理、发布打印任务及打印任务管理、体检数据重新上传审批流程、报表导出、每日体检数据统计、体检流程管理、微信公众号查看、微信公众号定期消息推送体检信息、工作提醒、物流消息推送等功能。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（提供系统的功能截图）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健康评价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★1、分为运营端、评价标准管理端、对外接口服务等部分。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（提供系统的功能截图）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2、运营端：为管理员、运营人员、运维人员提供基础信息管理功能。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评价标准管理端：为医院人员提供评价标准管理功能，为了满足运营人员、运维人员对于评价标准的管理需求，这两类人员可以从运营端（点击评价模板名称或医院名称）跳转到评价标准管理端，进而进行评价标准管理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4、对外接口服务：为健康体检系统提供对外接口，可以根据体检信息，自动调用相应的评价标准，并输出档案评价内容。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其他要求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承诺后期对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航天院区HIS、PACS、LIS、电子病历系统对接开发，实现与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航天院区第三方系统的信息互通。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第三方系统接口费用，由中标公司负责全部承担。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7BF54B"/>
    <w:multiLevelType w:val="singleLevel"/>
    <w:tmpl w:val="FB7BF5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MWM2ZTZmMDY1YWI2NzY0NzVhMzJiYzY3NjYwMGQifQ=="/>
  </w:docVars>
  <w:rsids>
    <w:rsidRoot w:val="56810EA2"/>
    <w:rsid w:val="238D507B"/>
    <w:rsid w:val="5681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</w:pPr>
    <w:rPr>
      <w:rFonts w:ascii="Times New Roman" w:hAnsi="Times New Roman" w:eastAsia="仿宋" w:cs="Times New Roman"/>
      <w:kern w:val="2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  <w:szCs w:val="20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/>
      <w:b/>
      <w:bCs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szCs w:val="20"/>
    </w:rPr>
  </w:style>
  <w:style w:type="paragraph" w:styleId="3">
    <w:name w:val="Quote"/>
    <w:basedOn w:val="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paragraph" w:styleId="6">
    <w:name w:val="Normal Indent"/>
    <w:basedOn w:val="1"/>
    <w:qFormat/>
    <w:uiPriority w:val="0"/>
    <w:pPr>
      <w:autoSpaceDE w:val="0"/>
      <w:autoSpaceDN w:val="0"/>
      <w:adjustRightInd w:val="0"/>
      <w:ind w:firstLine="420"/>
    </w:pPr>
    <w:rPr>
      <w:rFonts w:ascii="宋体"/>
      <w:kern w:val="0"/>
      <w:szCs w:val="20"/>
    </w:rPr>
  </w:style>
  <w:style w:type="table" w:styleId="8">
    <w:name w:val="Table Grid"/>
    <w:basedOn w:val="7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2756</Words>
  <Characters>2846</Characters>
  <Lines>0</Lines>
  <Paragraphs>0</Paragraphs>
  <TotalTime>0</TotalTime>
  <ScaleCrop>false</ScaleCrop>
  <LinksUpToDate>false</LinksUpToDate>
  <CharactersWithSpaces>2850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2023-02-28T04:42:00Z</dcterms:created>
  <dc:creator>默--</dc:creator>
  <cp:lastModifiedBy>默--</cp:lastModifiedBy>
  <dcterms:modified xsi:type="dcterms:W3CDTF">2023-02-28T05:41:23Z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6C59256F97E849DCA44486EB7FEA7F2B</vt:lpwstr>
  </property>
</Properties>
</file>