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hAnsi="宋体"/>
          <w:b/>
          <w:bCs/>
          <w:color w:val="auto"/>
          <w:kern w:val="44"/>
          <w:sz w:val="36"/>
          <w:szCs w:val="44"/>
        </w:rPr>
      </w:pPr>
      <w:r>
        <w:rPr>
          <w:rFonts w:hint="eastAsia"/>
          <w:b/>
          <w:bCs/>
          <w:color w:val="auto"/>
          <w:sz w:val="36"/>
        </w:rPr>
        <w:t>采购项目技术、服务、政府采购</w:t>
      </w:r>
      <w:bookmarkStart w:id="0" w:name="_Toc31235"/>
      <w:r>
        <w:rPr>
          <w:rFonts w:hint="eastAsia"/>
          <w:b/>
          <w:bCs/>
          <w:color w:val="auto"/>
          <w:sz w:val="36"/>
        </w:rPr>
        <w:t>合同内容</w:t>
      </w:r>
      <w:r>
        <w:rPr>
          <w:rFonts w:hint="eastAsia" w:hAnsi="宋体"/>
          <w:b/>
          <w:bCs/>
          <w:color w:val="auto"/>
          <w:kern w:val="44"/>
          <w:sz w:val="36"/>
          <w:szCs w:val="44"/>
        </w:rPr>
        <w:t>条款及其他</w:t>
      </w:r>
    </w:p>
    <w:p>
      <w:pPr>
        <w:pStyle w:val="5"/>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hAnsi="宋体"/>
          <w:b/>
          <w:bCs/>
          <w:color w:val="auto"/>
          <w:kern w:val="44"/>
          <w:sz w:val="36"/>
          <w:szCs w:val="44"/>
        </w:rPr>
      </w:pPr>
      <w:bookmarkStart w:id="1" w:name="_GoBack"/>
      <w:bookmarkEnd w:id="1"/>
      <w:r>
        <w:rPr>
          <w:rFonts w:hint="eastAsia" w:hAnsi="宋体"/>
          <w:b/>
          <w:bCs/>
          <w:color w:val="auto"/>
          <w:kern w:val="44"/>
          <w:sz w:val="36"/>
          <w:szCs w:val="44"/>
        </w:rPr>
        <w:t>商务要求</w:t>
      </w:r>
      <w:bookmarkEnd w:id="0"/>
    </w:p>
    <w:p>
      <w:pPr>
        <w:spacing w:line="360" w:lineRule="auto"/>
        <w:outlineLvl w:val="1"/>
        <w:rPr>
          <w:rFonts w:hAnsi="宋体" w:cs="宋体"/>
          <w:b/>
          <w:bCs/>
          <w:color w:val="auto"/>
          <w:sz w:val="28"/>
          <w:szCs w:val="21"/>
        </w:rPr>
      </w:pPr>
      <w:r>
        <w:rPr>
          <w:rFonts w:hint="eastAsia" w:hAnsi="宋体" w:cs="宋体"/>
          <w:b/>
          <w:bCs/>
          <w:color w:val="auto"/>
          <w:sz w:val="28"/>
          <w:szCs w:val="21"/>
        </w:rPr>
        <w:t>一、项目概述：</w:t>
      </w:r>
    </w:p>
    <w:p>
      <w:pPr>
        <w:spacing w:line="360" w:lineRule="auto"/>
        <w:ind w:firstLine="504" w:firstLineChars="200"/>
        <w:rPr>
          <w:rFonts w:hAnsi="宋体" w:cs="宋体"/>
          <w:color w:val="auto"/>
          <w:spacing w:val="6"/>
          <w:sz w:val="24"/>
        </w:rPr>
      </w:pPr>
      <w:r>
        <w:rPr>
          <w:rFonts w:hint="eastAsia" w:hAnsi="宋体" w:cs="宋体"/>
          <w:color w:val="auto"/>
          <w:spacing w:val="6"/>
          <w:sz w:val="24"/>
        </w:rPr>
        <w:t>本项目为</w:t>
      </w:r>
      <w:r>
        <w:rPr>
          <w:rFonts w:hint="eastAsia" w:hAnsi="宋体" w:cs="宋体"/>
          <w:color w:val="auto"/>
          <w:spacing w:val="6"/>
          <w:sz w:val="24"/>
          <w:lang w:eastAsia="zh-CN"/>
        </w:rPr>
        <w:t>泸县农业农村局泸县2022年耕地轮作休耕制度试点扩种油菜项目（颗粒硼肥）(六次)</w:t>
      </w:r>
      <w:r>
        <w:rPr>
          <w:rFonts w:hint="eastAsia" w:hAnsi="宋体" w:cs="宋体"/>
          <w:color w:val="auto"/>
          <w:spacing w:val="6"/>
          <w:sz w:val="24"/>
        </w:rPr>
        <w:t>，采购预算为</w:t>
      </w:r>
      <w:r>
        <w:rPr>
          <w:rFonts w:hint="eastAsia" w:hAnsi="宋体" w:cs="宋体"/>
          <w:color w:val="auto"/>
          <w:spacing w:val="6"/>
          <w:sz w:val="24"/>
          <w:lang w:eastAsia="zh-CN"/>
        </w:rPr>
        <w:t>1200000.00</w:t>
      </w:r>
      <w:r>
        <w:rPr>
          <w:rFonts w:hint="eastAsia" w:hAnsi="宋体" w:cs="宋体"/>
          <w:color w:val="auto"/>
          <w:spacing w:val="6"/>
          <w:sz w:val="24"/>
        </w:rPr>
        <w:t>元。</w:t>
      </w:r>
    </w:p>
    <w:p>
      <w:pPr>
        <w:keepNext/>
        <w:keepLines/>
        <w:numPr>
          <w:ilvl w:val="0"/>
          <w:numId w:val="1"/>
        </w:numPr>
        <w:spacing w:line="320" w:lineRule="exact"/>
        <w:outlineLvl w:val="1"/>
        <w:rPr>
          <w:rFonts w:hint="eastAsia" w:hAnsi="宋体" w:cs="宋体"/>
          <w:b/>
          <w:bCs/>
          <w:color w:val="auto"/>
          <w:sz w:val="28"/>
          <w:szCs w:val="28"/>
        </w:rPr>
      </w:pPr>
      <w:r>
        <w:rPr>
          <w:rFonts w:hint="eastAsia" w:hAnsi="宋体" w:cs="宋体"/>
          <w:b/>
          <w:bCs/>
          <w:color w:val="auto"/>
          <w:sz w:val="28"/>
          <w:szCs w:val="28"/>
        </w:rPr>
        <w:t>采购清单、技术参数及要求（实质性要求）：</w:t>
      </w:r>
    </w:p>
    <w:p>
      <w:pPr>
        <w:widowControl w:val="0"/>
        <w:numPr>
          <w:ilvl w:val="0"/>
          <w:numId w:val="0"/>
        </w:numPr>
        <w:spacing w:after="120"/>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b/>
          <w:bCs/>
          <w:color w:val="auto"/>
          <w:kern w:val="2"/>
          <w:sz w:val="28"/>
          <w:szCs w:val="28"/>
          <w:lang w:val="en-US" w:eastAsia="zh-CN" w:bidi="ar-SA"/>
        </w:rPr>
        <w:t>（一）产品清单、技术参数</w:t>
      </w:r>
    </w:p>
    <w:tbl>
      <w:tblPr>
        <w:tblStyle w:val="6"/>
        <w:tblW w:w="51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641"/>
        <w:gridCol w:w="3942"/>
        <w:gridCol w:w="1038"/>
        <w:gridCol w:w="93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noWrap/>
            <w:vAlign w:val="center"/>
          </w:tcPr>
          <w:p>
            <w:pPr>
              <w:widowControl/>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序号</w:t>
            </w:r>
          </w:p>
        </w:tc>
        <w:tc>
          <w:tcPr>
            <w:tcW w:w="941" w:type="pct"/>
            <w:noWrap/>
            <w:vAlign w:val="center"/>
          </w:tcPr>
          <w:p>
            <w:pPr>
              <w:widowControl/>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货物名称</w:t>
            </w:r>
          </w:p>
        </w:tc>
        <w:tc>
          <w:tcPr>
            <w:tcW w:w="2260" w:type="pct"/>
            <w:noWrap w:val="0"/>
            <w:vAlign w:val="center"/>
          </w:tcPr>
          <w:p>
            <w:pPr>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技术参数</w:t>
            </w:r>
          </w:p>
        </w:tc>
        <w:tc>
          <w:tcPr>
            <w:tcW w:w="595" w:type="pct"/>
            <w:noWrap/>
            <w:vAlign w:val="center"/>
          </w:tcPr>
          <w:p>
            <w:pPr>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规格</w:t>
            </w:r>
          </w:p>
        </w:tc>
        <w:tc>
          <w:tcPr>
            <w:tcW w:w="537" w:type="pct"/>
            <w:noWrap/>
            <w:vAlign w:val="center"/>
          </w:tcPr>
          <w:p>
            <w:pPr>
              <w:widowControl/>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数量</w:t>
            </w:r>
          </w:p>
        </w:tc>
        <w:tc>
          <w:tcPr>
            <w:tcW w:w="390" w:type="pct"/>
            <w:noWrap/>
            <w:vAlign w:val="center"/>
          </w:tcPr>
          <w:p>
            <w:pPr>
              <w:widowControl/>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5" w:hRule="atLeast"/>
          <w:jc w:val="center"/>
        </w:trPr>
        <w:tc>
          <w:tcPr>
            <w:tcW w:w="275" w:type="pct"/>
            <w:noWrap/>
            <w:vAlign w:val="center"/>
          </w:tcPr>
          <w:p>
            <w:pPr>
              <w:widowControl/>
              <w:spacing w:line="400" w:lineRule="exact"/>
              <w:jc w:val="center"/>
              <w:rPr>
                <w:rFonts w:ascii="宋体" w:hAnsi="宋体" w:cs="宋体"/>
                <w:color w:val="auto"/>
                <w:kern w:val="0"/>
                <w:sz w:val="24"/>
                <w:szCs w:val="24"/>
              </w:rPr>
            </w:pPr>
            <w:r>
              <w:rPr>
                <w:rFonts w:ascii="宋体" w:hAnsi="宋体" w:cs="宋体"/>
                <w:color w:val="auto"/>
                <w:kern w:val="0"/>
                <w:sz w:val="24"/>
                <w:szCs w:val="24"/>
              </w:rPr>
              <w:t>1</w:t>
            </w:r>
          </w:p>
        </w:tc>
        <w:tc>
          <w:tcPr>
            <w:tcW w:w="941" w:type="pct"/>
            <w:noWrap/>
            <w:vAlign w:val="center"/>
          </w:tcPr>
          <w:p>
            <w:pPr>
              <w:widowControl/>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微量元素水溶肥料（颗粒硼肥）</w:t>
            </w:r>
          </w:p>
        </w:tc>
        <w:tc>
          <w:tcPr>
            <w:tcW w:w="2260" w:type="pct"/>
            <w:noWrap w:val="0"/>
            <w:vAlign w:val="center"/>
          </w:tcPr>
          <w:p>
            <w:pPr>
              <w:widowControl w:val="0"/>
              <w:spacing w:after="12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1.水不溶物含量≤5.0%；</w:t>
            </w:r>
          </w:p>
          <w:p>
            <w:pPr>
              <w:widowControl/>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2.pH（1:250倍稀释）：3.0-10.0；</w:t>
            </w:r>
          </w:p>
          <w:p>
            <w:pPr>
              <w:widowControl/>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3.水份（H2O）≤6.0%；</w:t>
            </w:r>
          </w:p>
          <w:p>
            <w:pPr>
              <w:widowControl/>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4、B≥15.0%；</w:t>
            </w:r>
          </w:p>
          <w:p>
            <w:pPr>
              <w:widowControl/>
              <w:spacing w:line="360" w:lineRule="auto"/>
              <w:jc w:val="left"/>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5、粒度（1.00mm-4.75mm）≥90%；</w:t>
            </w:r>
          </w:p>
          <w:p>
            <w:pPr>
              <w:widowControl/>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6、产品形态：颗粒。</w:t>
            </w:r>
          </w:p>
          <w:p>
            <w:pPr>
              <w:widowControl w:val="0"/>
              <w:spacing w:after="12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7、微量元素水溶肥料中汞、砷、镉、铅、铬限量指标应符合NY1110的要求（实质性要求）：</w:t>
            </w:r>
          </w:p>
          <w:p>
            <w:pPr>
              <w:widowControl w:val="0"/>
              <w:spacing w:after="120"/>
              <w:jc w:val="both"/>
              <w:rPr>
                <w:rFonts w:hint="default" w:ascii="宋体" w:hAnsi="宋体" w:eastAsia="宋体" w:cs="宋体"/>
                <w:b/>
                <w:bCs/>
                <w:color w:val="auto"/>
                <w:kern w:val="0"/>
                <w:sz w:val="22"/>
                <w:szCs w:val="22"/>
                <w:highlight w:val="none"/>
                <w:lang w:val="en-US" w:eastAsia="zh-CN" w:bidi="ar-SA"/>
              </w:rPr>
            </w:pPr>
            <w:r>
              <w:rPr>
                <w:rFonts w:hint="eastAsia" w:ascii="宋体" w:hAnsi="宋体" w:eastAsia="宋体" w:cs="宋体"/>
                <w:b/>
                <w:bCs/>
                <w:color w:val="auto"/>
                <w:kern w:val="0"/>
                <w:sz w:val="22"/>
                <w:szCs w:val="22"/>
                <w:highlight w:val="none"/>
                <w:lang w:val="en-US" w:eastAsia="zh-CN" w:bidi="ar-SA"/>
              </w:rPr>
              <w:t>单位：毫克每千克</w:t>
            </w:r>
          </w:p>
          <w:tbl>
            <w:tblPr>
              <w:tblStyle w:val="7"/>
              <w:tblW w:w="3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noWrap w:val="0"/>
                  <w:vAlign w:val="top"/>
                </w:tcPr>
                <w:p>
                  <w:pPr>
                    <w:widowControl w:val="0"/>
                    <w:numPr>
                      <w:ilvl w:val="0"/>
                      <w:numId w:val="0"/>
                    </w:numPr>
                    <w:spacing w:after="120"/>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eastAsia" w:ascii="Times New Roman" w:hAnsi="Times New Roman" w:eastAsia="宋体" w:cs="Times New Roman"/>
                      <w:color w:val="auto"/>
                      <w:kern w:val="2"/>
                      <w:sz w:val="21"/>
                      <w:szCs w:val="24"/>
                      <w:highlight w:val="none"/>
                      <w:vertAlign w:val="baseline"/>
                      <w:lang w:val="en-US" w:eastAsia="zh-CN" w:bidi="ar-SA"/>
                    </w:rPr>
                    <w:t>项目</w:t>
                  </w:r>
                </w:p>
              </w:tc>
              <w:tc>
                <w:tcPr>
                  <w:tcW w:w="1988" w:type="dxa"/>
                  <w:noWrap w:val="0"/>
                  <w:vAlign w:val="top"/>
                </w:tcPr>
                <w:p>
                  <w:pPr>
                    <w:widowControl w:val="0"/>
                    <w:numPr>
                      <w:ilvl w:val="0"/>
                      <w:numId w:val="0"/>
                    </w:numPr>
                    <w:spacing w:after="120"/>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eastAsia" w:ascii="Times New Roman" w:hAnsi="Times New Roman" w:eastAsia="宋体" w:cs="Times New Roman"/>
                      <w:color w:val="auto"/>
                      <w:kern w:val="2"/>
                      <w:sz w:val="21"/>
                      <w:szCs w:val="24"/>
                      <w:highlight w:val="none"/>
                      <w:vertAlign w:val="baseline"/>
                      <w:lang w:val="en-US" w:eastAsia="zh-CN" w:bidi="ar-SA"/>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noWrap w:val="0"/>
                  <w:vAlign w:val="top"/>
                </w:tcPr>
                <w:p>
                  <w:pPr>
                    <w:widowControl w:val="0"/>
                    <w:numPr>
                      <w:ilvl w:val="0"/>
                      <w:numId w:val="0"/>
                    </w:numPr>
                    <w:spacing w:after="120"/>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default" w:ascii="Times New Roman" w:hAnsi="Times New Roman" w:eastAsia="宋体" w:cs="Times New Roman"/>
                      <w:color w:val="auto"/>
                      <w:kern w:val="2"/>
                      <w:sz w:val="21"/>
                      <w:szCs w:val="24"/>
                      <w:highlight w:val="none"/>
                      <w:vertAlign w:val="baseline"/>
                      <w:lang w:val="en-US" w:eastAsia="zh-CN" w:bidi="ar-SA"/>
                    </w:rPr>
                    <w:t>汞(Hg)(以元素计)</w:t>
                  </w:r>
                </w:p>
              </w:tc>
              <w:tc>
                <w:tcPr>
                  <w:tcW w:w="1988" w:type="dxa"/>
                  <w:noWrap w:val="0"/>
                  <w:vAlign w:val="top"/>
                </w:tcPr>
                <w:p>
                  <w:pPr>
                    <w:widowControl w:val="0"/>
                    <w:numPr>
                      <w:ilvl w:val="0"/>
                      <w:numId w:val="0"/>
                    </w:numPr>
                    <w:spacing w:after="120"/>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eastAsia" w:ascii="Times New Roman" w:hAnsi="Times New Roman" w:eastAsia="宋体" w:cs="Times New Roman"/>
                      <w:color w:val="auto"/>
                      <w:kern w:val="2"/>
                      <w:sz w:val="21"/>
                      <w:szCs w:val="24"/>
                      <w:highlight w:val="none"/>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noWrap w:val="0"/>
                  <w:vAlign w:val="top"/>
                </w:tcPr>
                <w:p>
                  <w:pPr>
                    <w:widowControl w:val="0"/>
                    <w:numPr>
                      <w:ilvl w:val="0"/>
                      <w:numId w:val="0"/>
                    </w:numPr>
                    <w:spacing w:after="120"/>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eastAsia" w:ascii="Times New Roman" w:hAnsi="Times New Roman" w:eastAsia="宋体" w:cs="Times New Roman"/>
                      <w:color w:val="auto"/>
                      <w:kern w:val="2"/>
                      <w:sz w:val="21"/>
                      <w:szCs w:val="24"/>
                      <w:highlight w:val="none"/>
                      <w:vertAlign w:val="baseline"/>
                      <w:lang w:val="en-US" w:eastAsia="zh-CN" w:bidi="ar-SA"/>
                    </w:rPr>
                    <w:t>砷</w:t>
                  </w:r>
                  <w:r>
                    <w:rPr>
                      <w:rFonts w:hint="default" w:ascii="Times New Roman" w:hAnsi="Times New Roman" w:eastAsia="宋体" w:cs="Times New Roman"/>
                      <w:color w:val="auto"/>
                      <w:kern w:val="2"/>
                      <w:sz w:val="21"/>
                      <w:szCs w:val="24"/>
                      <w:highlight w:val="none"/>
                      <w:vertAlign w:val="baseline"/>
                      <w:lang w:val="en-US" w:eastAsia="zh-CN" w:bidi="ar-SA"/>
                    </w:rPr>
                    <w:t>(As)(以元素计)</w:t>
                  </w:r>
                </w:p>
              </w:tc>
              <w:tc>
                <w:tcPr>
                  <w:tcW w:w="1988" w:type="dxa"/>
                  <w:noWrap w:val="0"/>
                  <w:vAlign w:val="top"/>
                </w:tcPr>
                <w:p>
                  <w:pPr>
                    <w:numPr>
                      <w:ilvl w:val="0"/>
                      <w:numId w:val="0"/>
                    </w:numPr>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eastAsia" w:ascii="Times New Roman" w:hAnsi="Times New Roman" w:eastAsia="宋体" w:cs="Times New Roman"/>
                      <w:color w:val="auto"/>
                      <w:kern w:val="2"/>
                      <w:sz w:val="21"/>
                      <w:szCs w:val="24"/>
                      <w:highlight w:val="none"/>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noWrap w:val="0"/>
                  <w:vAlign w:val="top"/>
                </w:tcPr>
                <w:p>
                  <w:pPr>
                    <w:widowControl w:val="0"/>
                    <w:numPr>
                      <w:ilvl w:val="0"/>
                      <w:numId w:val="0"/>
                    </w:numPr>
                    <w:spacing w:after="120"/>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default" w:ascii="Times New Roman" w:hAnsi="Times New Roman" w:eastAsia="宋体" w:cs="Times New Roman"/>
                      <w:color w:val="auto"/>
                      <w:kern w:val="2"/>
                      <w:sz w:val="21"/>
                      <w:szCs w:val="24"/>
                      <w:highlight w:val="none"/>
                      <w:vertAlign w:val="baseline"/>
                      <w:lang w:val="en-US" w:eastAsia="zh-CN" w:bidi="ar-SA"/>
                    </w:rPr>
                    <w:t>镉(Cd)(以元素计)</w:t>
                  </w:r>
                </w:p>
              </w:tc>
              <w:tc>
                <w:tcPr>
                  <w:tcW w:w="1988" w:type="dxa"/>
                  <w:noWrap w:val="0"/>
                  <w:vAlign w:val="top"/>
                </w:tcPr>
                <w:p>
                  <w:pPr>
                    <w:numPr>
                      <w:ilvl w:val="0"/>
                      <w:numId w:val="0"/>
                    </w:numPr>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eastAsia" w:ascii="Times New Roman" w:hAnsi="Times New Roman" w:eastAsia="宋体" w:cs="Times New Roman"/>
                      <w:color w:val="auto"/>
                      <w:kern w:val="2"/>
                      <w:sz w:val="21"/>
                      <w:szCs w:val="24"/>
                      <w:highlight w:val="none"/>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8" w:type="dxa"/>
                  <w:noWrap w:val="0"/>
                  <w:vAlign w:val="top"/>
                </w:tcPr>
                <w:p>
                  <w:pPr>
                    <w:widowControl w:val="0"/>
                    <w:numPr>
                      <w:ilvl w:val="0"/>
                      <w:numId w:val="0"/>
                    </w:numPr>
                    <w:spacing w:after="120"/>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default" w:ascii="Times New Roman" w:hAnsi="Times New Roman" w:eastAsia="宋体" w:cs="Times New Roman"/>
                      <w:color w:val="auto"/>
                      <w:kern w:val="2"/>
                      <w:sz w:val="21"/>
                      <w:szCs w:val="24"/>
                      <w:highlight w:val="none"/>
                      <w:vertAlign w:val="baseline"/>
                      <w:lang w:val="en-US" w:eastAsia="zh-CN" w:bidi="ar-SA"/>
                    </w:rPr>
                    <w:t>铅(Pb)(以元素计)</w:t>
                  </w:r>
                </w:p>
              </w:tc>
              <w:tc>
                <w:tcPr>
                  <w:tcW w:w="1988" w:type="dxa"/>
                  <w:noWrap w:val="0"/>
                  <w:vAlign w:val="top"/>
                </w:tcPr>
                <w:p>
                  <w:pPr>
                    <w:numPr>
                      <w:ilvl w:val="0"/>
                      <w:numId w:val="0"/>
                    </w:numPr>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eastAsia" w:ascii="Times New Roman" w:hAnsi="Times New Roman" w:eastAsia="宋体" w:cs="Times New Roman"/>
                      <w:color w:val="auto"/>
                      <w:kern w:val="2"/>
                      <w:sz w:val="21"/>
                      <w:szCs w:val="24"/>
                      <w:highlight w:val="none"/>
                      <w:vertAlign w:val="baseline"/>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noWrap w:val="0"/>
                  <w:vAlign w:val="top"/>
                </w:tcPr>
                <w:p>
                  <w:pPr>
                    <w:widowControl w:val="0"/>
                    <w:numPr>
                      <w:ilvl w:val="0"/>
                      <w:numId w:val="0"/>
                    </w:numPr>
                    <w:spacing w:after="120"/>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default" w:ascii="Times New Roman" w:hAnsi="Times New Roman" w:eastAsia="宋体" w:cs="Times New Roman"/>
                      <w:color w:val="auto"/>
                      <w:kern w:val="2"/>
                      <w:sz w:val="21"/>
                      <w:szCs w:val="24"/>
                      <w:highlight w:val="none"/>
                      <w:vertAlign w:val="baseline"/>
                      <w:lang w:val="en-US" w:eastAsia="zh-CN" w:bidi="ar-SA"/>
                    </w:rPr>
                    <w:t>铬(Cr)(以元素计)</w:t>
                  </w:r>
                </w:p>
              </w:tc>
              <w:tc>
                <w:tcPr>
                  <w:tcW w:w="1988" w:type="dxa"/>
                  <w:noWrap w:val="0"/>
                  <w:vAlign w:val="top"/>
                </w:tcPr>
                <w:p>
                  <w:pPr>
                    <w:numPr>
                      <w:ilvl w:val="0"/>
                      <w:numId w:val="0"/>
                    </w:numPr>
                    <w:jc w:val="center"/>
                    <w:rPr>
                      <w:rFonts w:hint="default" w:ascii="Times New Roman" w:hAnsi="Times New Roman" w:eastAsia="宋体" w:cs="Times New Roman"/>
                      <w:color w:val="auto"/>
                      <w:kern w:val="2"/>
                      <w:sz w:val="21"/>
                      <w:szCs w:val="24"/>
                      <w:highlight w:val="none"/>
                      <w:vertAlign w:val="baseline"/>
                      <w:lang w:val="en-US" w:eastAsia="zh-CN" w:bidi="ar-SA"/>
                    </w:rPr>
                  </w:pPr>
                  <w:r>
                    <w:rPr>
                      <w:rFonts w:hint="eastAsia" w:ascii="Times New Roman" w:hAnsi="Times New Roman" w:eastAsia="宋体" w:cs="Times New Roman"/>
                      <w:color w:val="auto"/>
                      <w:kern w:val="2"/>
                      <w:sz w:val="21"/>
                      <w:szCs w:val="24"/>
                      <w:highlight w:val="none"/>
                      <w:vertAlign w:val="baseline"/>
                      <w:lang w:val="en-US" w:eastAsia="zh-CN" w:bidi="ar-SA"/>
                    </w:rPr>
                    <w:t>≤50</w:t>
                  </w:r>
                </w:p>
              </w:tc>
            </w:tr>
          </w:tbl>
          <w:p>
            <w:pPr>
              <w:widowControl w:val="0"/>
              <w:wordWrap w:val="0"/>
              <w:spacing w:before="200" w:after="160"/>
              <w:ind w:left="0" w:leftChars="0" w:right="864" w:firstLine="0" w:firstLineChars="0"/>
              <w:jc w:val="both"/>
              <w:rPr>
                <w:rFonts w:hint="default" w:ascii="Times New Roman" w:hAnsi="Times New Roman" w:eastAsia="宋体" w:cs="Times New Roman"/>
                <w:i/>
                <w:color w:val="auto"/>
                <w:sz w:val="21"/>
                <w:szCs w:val="22"/>
                <w:lang w:val="en-US" w:eastAsia="zh-CN" w:bidi="ar-SA"/>
              </w:rPr>
            </w:pPr>
          </w:p>
        </w:tc>
        <w:tc>
          <w:tcPr>
            <w:tcW w:w="595" w:type="pct"/>
            <w:noWrap/>
            <w:vAlign w:val="center"/>
          </w:tcPr>
          <w:p>
            <w:pPr>
              <w:rPr>
                <w:rFonts w:hint="eastAsia" w:eastAsia="宋体"/>
                <w:color w:val="auto"/>
                <w:szCs w:val="22"/>
                <w:highlight w:val="none"/>
                <w:lang w:val="en-US" w:eastAsia="zh-CN"/>
              </w:rPr>
            </w:pPr>
            <w:r>
              <w:rPr>
                <w:rFonts w:hint="eastAsia" w:ascii="宋体" w:hAnsi="宋体" w:cs="宋体"/>
                <w:color w:val="auto"/>
                <w:kern w:val="0"/>
                <w:sz w:val="24"/>
                <w:szCs w:val="24"/>
                <w:highlight w:val="none"/>
              </w:rPr>
              <w:t>200g/</w:t>
            </w:r>
            <w:r>
              <w:rPr>
                <w:rFonts w:hint="eastAsia" w:ascii="宋体" w:hAnsi="宋体" w:cs="宋体"/>
                <w:color w:val="auto"/>
                <w:kern w:val="0"/>
                <w:sz w:val="24"/>
                <w:szCs w:val="24"/>
                <w:highlight w:val="none"/>
                <w:lang w:val="en-US" w:eastAsia="zh-CN"/>
              </w:rPr>
              <w:t>包</w:t>
            </w:r>
          </w:p>
        </w:tc>
        <w:tc>
          <w:tcPr>
            <w:tcW w:w="537" w:type="pct"/>
            <w:noWrap/>
            <w:vAlign w:val="center"/>
          </w:tcPr>
          <w:p>
            <w:pPr>
              <w:widowControl/>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1</w:t>
            </w:r>
            <w:r>
              <w:rPr>
                <w:rFonts w:ascii="宋体" w:hAnsi="宋体" w:cs="宋体"/>
                <w:color w:val="auto"/>
                <w:kern w:val="0"/>
                <w:sz w:val="24"/>
                <w:szCs w:val="24"/>
              </w:rPr>
              <w:t>50000</w:t>
            </w:r>
          </w:p>
        </w:tc>
        <w:tc>
          <w:tcPr>
            <w:tcW w:w="390" w:type="pct"/>
            <w:noWrap/>
            <w:vAlign w:val="center"/>
          </w:tcPr>
          <w:p>
            <w:pPr>
              <w:widowControl/>
              <w:spacing w:line="400" w:lineRule="exact"/>
              <w:jc w:val="center"/>
              <w:rPr>
                <w:rFonts w:ascii="宋体" w:hAnsi="宋体" w:cs="宋体"/>
                <w:color w:val="auto"/>
                <w:kern w:val="0"/>
                <w:sz w:val="24"/>
                <w:szCs w:val="24"/>
              </w:rPr>
            </w:pPr>
            <w:r>
              <w:rPr>
                <w:rFonts w:hint="eastAsia" w:ascii="宋体" w:hAnsi="宋体" w:cs="宋体"/>
                <w:color w:val="auto"/>
                <w:kern w:val="0"/>
                <w:sz w:val="24"/>
                <w:szCs w:val="24"/>
                <w:highlight w:val="none"/>
                <w:lang w:val="en-US" w:eastAsia="zh-CN"/>
              </w:rPr>
              <w:t>包</w:t>
            </w:r>
          </w:p>
        </w:tc>
      </w:tr>
    </w:tbl>
    <w:p>
      <w:pPr>
        <w:adjustRightInd w:val="0"/>
        <w:snapToGrid w:val="0"/>
        <w:spacing w:line="360" w:lineRule="auto"/>
        <w:ind w:firstLine="480" w:firstLineChars="200"/>
        <w:rPr>
          <w:rFonts w:hint="eastAsia" w:ascii="Times New Roman" w:hAnsi="宋体" w:cs="宋体"/>
          <w:color w:val="auto"/>
          <w:sz w:val="24"/>
          <w:szCs w:val="24"/>
          <w:lang w:val="en-US" w:eastAsia="zh-CN"/>
        </w:rPr>
      </w:pPr>
      <w:r>
        <w:rPr>
          <w:rFonts w:hint="eastAsia" w:ascii="Times New Roman" w:hAnsi="宋体" w:cs="宋体"/>
          <w:color w:val="auto"/>
          <w:sz w:val="24"/>
          <w:szCs w:val="24"/>
          <w:lang w:val="en-US" w:eastAsia="zh-CN"/>
        </w:rPr>
        <w:t>注：1、供应商所投产品（微量元素水溶肥料）须提供肥料登记证复印件或通过农业农村部肥料备案信息系统或省级农业农村部门肥料备案信息系统进行备案的证明材料。</w:t>
      </w:r>
    </w:p>
    <w:p>
      <w:pPr>
        <w:adjustRightInd w:val="0"/>
        <w:snapToGrid w:val="0"/>
        <w:spacing w:line="360" w:lineRule="auto"/>
        <w:ind w:firstLine="480" w:firstLineChars="200"/>
        <w:rPr>
          <w:rFonts w:hint="eastAsia" w:ascii="Times New Roman" w:hAnsi="宋体" w:cs="宋体"/>
          <w:color w:val="auto"/>
          <w:sz w:val="24"/>
          <w:szCs w:val="24"/>
          <w:lang w:val="en-US" w:eastAsia="zh-CN"/>
        </w:rPr>
      </w:pPr>
      <w:r>
        <w:rPr>
          <w:rFonts w:hint="eastAsia" w:ascii="Times New Roman" w:hAnsi="宋体" w:cs="宋体"/>
          <w:color w:val="auto"/>
          <w:sz w:val="24"/>
          <w:szCs w:val="24"/>
          <w:lang w:val="en-US" w:eastAsia="zh-CN"/>
        </w:rPr>
        <w:t>2.确定成交供应商并签订合同后，由成交供应商负责运送到采购人指定地点，并负责装卸。采购人对送达的每批次货物进行抽样送检，由具有检测资质的第三方检测机构出具检验报告，所产生的所有费用包含在投标报价中。（检测机构由采购人指定，检验费用由成交供应商支付。）。</w:t>
      </w:r>
    </w:p>
    <w:p>
      <w:pPr>
        <w:widowControl w:val="0"/>
        <w:numPr>
          <w:ilvl w:val="0"/>
          <w:numId w:val="0"/>
        </w:numPr>
        <w:spacing w:after="120"/>
        <w:jc w:val="both"/>
        <w:rPr>
          <w:rFonts w:hint="eastAsia" w:ascii="宋体" w:hAnsi="宋体" w:eastAsia="宋体" w:cs="Times New Roman"/>
          <w:b/>
          <w:bCs/>
          <w:color w:val="auto"/>
          <w:kern w:val="2"/>
          <w:sz w:val="28"/>
          <w:szCs w:val="28"/>
          <w:lang w:val="en-US" w:eastAsia="zh-CN" w:bidi="ar-SA"/>
        </w:rPr>
      </w:pPr>
      <w:r>
        <w:rPr>
          <w:rFonts w:hint="eastAsia" w:hAnsi="宋体" w:cs="Times New Roman"/>
          <w:b/>
          <w:bCs/>
          <w:color w:val="auto"/>
          <w:kern w:val="2"/>
          <w:sz w:val="28"/>
          <w:szCs w:val="28"/>
          <w:lang w:val="en-US" w:eastAsia="zh-CN" w:bidi="ar-SA"/>
        </w:rPr>
        <w:t>（二）</w:t>
      </w:r>
      <w:r>
        <w:rPr>
          <w:rFonts w:hint="eastAsia" w:ascii="宋体" w:hAnsi="宋体" w:eastAsia="宋体" w:cs="Times New Roman"/>
          <w:b/>
          <w:bCs/>
          <w:color w:val="auto"/>
          <w:kern w:val="2"/>
          <w:sz w:val="28"/>
          <w:szCs w:val="28"/>
          <w:lang w:val="en-US" w:eastAsia="zh-CN" w:bidi="ar-SA"/>
        </w:rPr>
        <w:t>技术指导服务</w:t>
      </w:r>
    </w:p>
    <w:p>
      <w:pPr>
        <w:adjustRightInd w:val="0"/>
        <w:snapToGrid w:val="0"/>
        <w:spacing w:line="360" w:lineRule="auto"/>
        <w:ind w:firstLine="480" w:firstLineChars="200"/>
        <w:rPr>
          <w:rFonts w:hint="default" w:ascii="Times New Roman" w:hAnsi="宋体" w:eastAsia="宋体" w:cs="宋体"/>
          <w:color w:val="auto"/>
          <w:sz w:val="24"/>
          <w:szCs w:val="24"/>
          <w:lang w:val="en-US" w:eastAsia="zh-CN"/>
        </w:rPr>
      </w:pPr>
      <w:r>
        <w:rPr>
          <w:rFonts w:hint="eastAsia" w:ascii="Times New Roman" w:hAnsi="宋体" w:cs="宋体"/>
          <w:color w:val="auto"/>
          <w:sz w:val="24"/>
          <w:szCs w:val="24"/>
          <w:lang w:val="en-US" w:eastAsia="zh-CN"/>
        </w:rPr>
        <w:t>供应商</w:t>
      </w:r>
      <w:r>
        <w:rPr>
          <w:rFonts w:hint="eastAsia" w:ascii="Times New Roman" w:hAnsi="宋体" w:eastAsia="宋体" w:cs="宋体"/>
          <w:color w:val="auto"/>
          <w:sz w:val="24"/>
          <w:szCs w:val="24"/>
          <w:lang w:val="en-US" w:eastAsia="zh-CN"/>
        </w:rPr>
        <w:t>须按采购人要求在硼肥使用地点开展技术培训。</w:t>
      </w:r>
    </w:p>
    <w:p>
      <w:pPr>
        <w:pStyle w:val="2"/>
        <w:spacing w:line="360" w:lineRule="auto"/>
        <w:outlineLvl w:val="1"/>
        <w:rPr>
          <w:rFonts w:hint="eastAsia" w:hAnsi="宋体"/>
          <w:b/>
          <w:bCs/>
          <w:color w:val="auto"/>
          <w:sz w:val="28"/>
          <w:szCs w:val="28"/>
        </w:rPr>
      </w:pPr>
      <w:r>
        <w:rPr>
          <w:rFonts w:hint="eastAsia" w:hAnsi="宋体"/>
          <w:b/>
          <w:bCs/>
          <w:color w:val="auto"/>
          <w:sz w:val="28"/>
          <w:szCs w:val="28"/>
        </w:rPr>
        <w:t>三、商务要求（实质性要求）：</w:t>
      </w:r>
    </w:p>
    <w:p>
      <w:pPr>
        <w:pageBreakBefore w:val="0"/>
        <w:widowControl/>
        <w:kinsoku/>
        <w:overflowPunct/>
        <w:topLinePunct w:val="0"/>
        <w:autoSpaceDE/>
        <w:autoSpaceDN/>
        <w:bidi w:val="0"/>
        <w:adjustRightInd/>
        <w:snapToGrid/>
        <w:spacing w:line="480" w:lineRule="exact"/>
        <w:ind w:firstLine="480" w:firstLineChars="200"/>
        <w:jc w:val="left"/>
        <w:textAlignment w:val="auto"/>
        <w:rPr>
          <w:rFonts w:hint="eastAsia" w:ascii="Calibri" w:hAnsi="宋体" w:eastAsia="宋体" w:cs="Courier New"/>
          <w:color w:val="auto"/>
          <w:kern w:val="0"/>
          <w:sz w:val="24"/>
          <w:szCs w:val="22"/>
          <w:lang w:val="en-US" w:eastAsia="zh-CN" w:bidi="ar-SA"/>
        </w:rPr>
      </w:pPr>
      <w:r>
        <w:rPr>
          <w:rFonts w:hint="eastAsia" w:ascii="宋体" w:hAnsi="宋体" w:eastAsia="宋体" w:cs="Times New Roman"/>
          <w:bCs/>
          <w:color w:val="auto"/>
          <w:kern w:val="0"/>
          <w:sz w:val="24"/>
          <w:szCs w:val="22"/>
          <w:lang w:val="en-US" w:eastAsia="zh-CN" w:bidi="ar-SA"/>
        </w:rPr>
        <w:t>1、交货地点：</w:t>
      </w:r>
      <w:r>
        <w:rPr>
          <w:rFonts w:hint="eastAsia" w:ascii="宋体" w:hAnsi="宋体" w:cs="宋体"/>
          <w:color w:val="auto"/>
          <w:sz w:val="24"/>
          <w:szCs w:val="24"/>
        </w:rPr>
        <w:t>采购人指定地点</w:t>
      </w:r>
      <w:r>
        <w:rPr>
          <w:rFonts w:hint="eastAsia" w:ascii="宋体" w:hAnsi="宋体" w:eastAsia="宋体" w:cs="Times New Roman"/>
          <w:bCs/>
          <w:color w:val="auto"/>
          <w:kern w:val="0"/>
          <w:sz w:val="24"/>
          <w:szCs w:val="22"/>
          <w:lang w:val="en-US" w:eastAsia="zh-CN" w:bidi="ar-SA"/>
        </w:rPr>
        <w:t>。</w:t>
      </w:r>
    </w:p>
    <w:p>
      <w:pPr>
        <w:pageBreakBefore w:val="0"/>
        <w:widowControl/>
        <w:kinsoku/>
        <w:overflowPunct/>
        <w:topLinePunct w:val="0"/>
        <w:autoSpaceDE/>
        <w:autoSpaceDN/>
        <w:bidi w:val="0"/>
        <w:adjustRightInd/>
        <w:snapToGrid/>
        <w:spacing w:line="480" w:lineRule="exact"/>
        <w:ind w:firstLine="480" w:firstLineChars="200"/>
        <w:jc w:val="left"/>
        <w:textAlignment w:val="auto"/>
        <w:rPr>
          <w:rFonts w:hint="eastAsia" w:ascii="Calibri" w:hAnsi="宋体" w:eastAsia="宋体" w:cs="Courier New"/>
          <w:color w:val="auto"/>
          <w:kern w:val="0"/>
          <w:sz w:val="24"/>
          <w:szCs w:val="22"/>
          <w:lang w:val="en-US" w:eastAsia="zh-CN" w:bidi="ar-SA"/>
        </w:rPr>
      </w:pPr>
      <w:r>
        <w:rPr>
          <w:rFonts w:hint="eastAsia" w:ascii="Calibri" w:hAnsi="宋体" w:eastAsia="宋体" w:cs="Courier New"/>
          <w:color w:val="auto"/>
          <w:kern w:val="0"/>
          <w:sz w:val="24"/>
          <w:szCs w:val="22"/>
          <w:lang w:val="en-US" w:eastAsia="zh-CN" w:bidi="ar-SA"/>
        </w:rPr>
        <w:t>2、</w:t>
      </w:r>
      <w:r>
        <w:rPr>
          <w:rFonts w:hint="eastAsia" w:ascii="宋体" w:hAnsi="宋体" w:eastAsia="宋体" w:cs="Times New Roman"/>
          <w:bCs/>
          <w:color w:val="auto"/>
          <w:kern w:val="0"/>
          <w:sz w:val="24"/>
          <w:szCs w:val="22"/>
          <w:lang w:val="en-US" w:eastAsia="zh-CN" w:bidi="ar-SA"/>
        </w:rPr>
        <w:t>交货</w:t>
      </w:r>
      <w:r>
        <w:rPr>
          <w:rFonts w:hint="eastAsia" w:ascii="Calibri" w:hAnsi="宋体" w:eastAsia="宋体" w:cs="Courier New"/>
          <w:color w:val="auto"/>
          <w:kern w:val="0"/>
          <w:sz w:val="24"/>
          <w:szCs w:val="22"/>
          <w:lang w:val="en-US" w:eastAsia="zh-CN" w:bidi="ar-SA"/>
        </w:rPr>
        <w:t>期限：</w:t>
      </w:r>
      <w:r>
        <w:rPr>
          <w:rFonts w:hint="eastAsia" w:ascii="宋体" w:hAnsi="宋体" w:cs="宋体"/>
          <w:color w:val="auto"/>
          <w:sz w:val="24"/>
          <w:szCs w:val="24"/>
        </w:rPr>
        <w:t>合同签订后30日</w:t>
      </w:r>
      <w:r>
        <w:rPr>
          <w:rFonts w:hint="eastAsia" w:ascii="宋体" w:hAnsi="宋体" w:cs="宋体"/>
          <w:color w:val="auto"/>
          <w:sz w:val="24"/>
          <w:szCs w:val="24"/>
          <w:lang w:val="en-US" w:eastAsia="zh-CN"/>
        </w:rPr>
        <w:t>交货</w:t>
      </w:r>
      <w:r>
        <w:rPr>
          <w:rFonts w:hint="eastAsia" w:ascii="Calibri" w:hAnsi="宋体" w:eastAsia="宋体" w:cs="Courier New"/>
          <w:color w:val="auto"/>
          <w:kern w:val="0"/>
          <w:sz w:val="24"/>
          <w:szCs w:val="22"/>
          <w:lang w:val="en-US" w:eastAsia="zh-CN" w:bidi="ar-SA"/>
        </w:rPr>
        <w:t>。</w:t>
      </w:r>
    </w:p>
    <w:p>
      <w:pPr>
        <w:pageBreakBefore w:val="0"/>
        <w:widowControl/>
        <w:kinsoku/>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Times New Roman"/>
          <w:bCs/>
          <w:color w:val="auto"/>
          <w:kern w:val="0"/>
          <w:sz w:val="24"/>
          <w:szCs w:val="22"/>
          <w:lang w:val="en-US" w:eastAsia="zh-CN" w:bidi="ar-SA"/>
        </w:rPr>
      </w:pPr>
      <w:r>
        <w:rPr>
          <w:rFonts w:hint="eastAsia" w:ascii="宋体" w:hAnsi="宋体" w:eastAsia="宋体" w:cs="Times New Roman"/>
          <w:bCs/>
          <w:color w:val="auto"/>
          <w:kern w:val="0"/>
          <w:sz w:val="24"/>
          <w:szCs w:val="22"/>
          <w:lang w:val="en-US" w:eastAsia="zh-CN" w:bidi="ar-SA"/>
        </w:rPr>
        <w:t>3、质保期：不低于24个月。</w:t>
      </w:r>
    </w:p>
    <w:p>
      <w:pPr>
        <w:pageBreakBefore w:val="0"/>
        <w:widowControl/>
        <w:kinsoku/>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Times New Roman"/>
          <w:bCs/>
          <w:color w:val="auto"/>
          <w:kern w:val="0"/>
          <w:sz w:val="24"/>
          <w:szCs w:val="22"/>
          <w:lang w:val="en-US" w:eastAsia="zh-CN" w:bidi="ar-SA"/>
        </w:rPr>
      </w:pPr>
      <w:r>
        <w:rPr>
          <w:rFonts w:hint="eastAsia" w:ascii="宋体" w:hAnsi="宋体" w:eastAsia="宋体" w:cs="Times New Roman"/>
          <w:bCs/>
          <w:color w:val="auto"/>
          <w:kern w:val="0"/>
          <w:sz w:val="24"/>
          <w:szCs w:val="22"/>
          <w:lang w:val="en-US" w:eastAsia="zh-CN" w:bidi="ar-SA"/>
        </w:rPr>
        <w:t>4、付款方式：合同签订后，经验收合格（数量、质检报告等），采购人及时报请财政部门，财政资金到位后十个工作日内支付合同价款的100%</w:t>
      </w:r>
      <w:r>
        <w:rPr>
          <w:rFonts w:hint="eastAsia" w:ascii="宋体" w:hAnsi="宋体" w:eastAsia="宋体" w:cs="Times New Roman"/>
          <w:bCs/>
          <w:color w:val="auto"/>
          <w:kern w:val="0"/>
          <w:sz w:val="24"/>
          <w:szCs w:val="22"/>
          <w:lang w:val="en-US" w:eastAsia="ar-SA" w:bidi="ar-SA"/>
        </w:rPr>
        <w:t>。</w:t>
      </w:r>
    </w:p>
    <w:p>
      <w:pPr>
        <w:pageBreakBefore w:val="0"/>
        <w:widowControl/>
        <w:kinsoku/>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Times New Roman"/>
          <w:bCs/>
          <w:color w:val="auto"/>
          <w:kern w:val="0"/>
          <w:sz w:val="24"/>
          <w:szCs w:val="22"/>
          <w:lang w:val="en-US" w:eastAsia="zh-CN" w:bidi="ar-SA"/>
        </w:rPr>
      </w:pPr>
      <w:r>
        <w:rPr>
          <w:rFonts w:hint="eastAsia" w:ascii="宋体" w:hAnsi="宋体" w:eastAsia="宋体" w:cs="Times New Roman"/>
          <w:bCs/>
          <w:color w:val="auto"/>
          <w:kern w:val="0"/>
          <w:sz w:val="24"/>
          <w:szCs w:val="22"/>
          <w:lang w:val="en-US" w:eastAsia="zh-CN" w:bidi="ar-SA"/>
        </w:rPr>
        <w:t>5、其他要求：确定成交供应商并签订合同后，由成交供应商负责运送到采购人指定地点，并负责装卸。采购人对送达的每批次货物进行抽样送检，由具有检测资质的第三方检测机构出具检验报告，所产生的所有费用包含在投标报价中。（检测机构由采购人指定，检验费用由成交供应商支付。）</w:t>
      </w:r>
    </w:p>
    <w:p>
      <w:pPr>
        <w:pageBreakBefore w:val="0"/>
        <w:widowControl/>
        <w:kinsoku/>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Times New Roman"/>
          <w:bCs/>
          <w:color w:val="auto"/>
          <w:kern w:val="0"/>
          <w:sz w:val="24"/>
          <w:szCs w:val="22"/>
          <w:lang w:val="en-US" w:eastAsia="zh-CN" w:bidi="ar-SA"/>
        </w:rPr>
      </w:pPr>
      <w:r>
        <w:rPr>
          <w:rFonts w:hint="eastAsia" w:ascii="宋体" w:hAnsi="宋体" w:eastAsia="宋体" w:cs="Times New Roman"/>
          <w:bCs/>
          <w:color w:val="auto"/>
          <w:kern w:val="0"/>
          <w:sz w:val="24"/>
          <w:szCs w:val="22"/>
          <w:lang w:val="en-US" w:eastAsia="zh-CN" w:bidi="ar-SA"/>
        </w:rPr>
        <w:t>6、验收要求：甲方与乙方应严格按照《财政部关于进一步加强政府采购需求和履约验收管理的指导意见》(财库〔2016〕205 号)、政府采购需求管理办法(财库〔2021〕22号)的要求，按国家及行业有关规定以及甲方谈判文件的质量要求和技术指标、乙方的响应文件及承诺与本合同约定标准进行验收。双方如对质量要求和技术指标的约定标准有相互抵触或异议的事项，由甲方在招标与响应文件中按质量要求和技术指标比较优胜的原则确定该项的约定标准进行验收。</w:t>
      </w:r>
    </w:p>
    <w:p>
      <w:pPr>
        <w:pageBreakBefore w:val="0"/>
        <w:widowControl/>
        <w:kinsoku/>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Times New Roman"/>
          <w:bCs/>
          <w:color w:val="auto"/>
          <w:kern w:val="0"/>
          <w:sz w:val="24"/>
          <w:szCs w:val="22"/>
          <w:lang w:val="en-US" w:eastAsia="zh-CN" w:bidi="ar-SA"/>
        </w:rPr>
      </w:pPr>
      <w:r>
        <w:rPr>
          <w:rFonts w:hint="eastAsia" w:ascii="宋体" w:hAnsi="宋体" w:eastAsia="宋体" w:cs="Times New Roman"/>
          <w:bCs/>
          <w:color w:val="auto"/>
          <w:kern w:val="0"/>
          <w:sz w:val="24"/>
          <w:szCs w:val="22"/>
          <w:lang w:val="en-US" w:eastAsia="zh-CN" w:bidi="ar-SA"/>
        </w:rPr>
        <w:t>7、履约验收时间：供应商提出验收申请之日起30日内组织验收。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à.ā">
    <w:altName w:val="黑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958797"/>
    <w:multiLevelType w:val="singleLevel"/>
    <w:tmpl w:val="9295879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ZDdkNDFmNjMyYjA1YTFmZTk5MzI2N2FlMDVlNmQifQ=="/>
    <w:docVar w:name="KSO_WPS_MARK_KEY" w:val="800abb74-3b3f-4992-9e21-12e3609d7f36"/>
  </w:docVars>
  <w:rsids>
    <w:rsidRoot w:val="00000000"/>
    <w:rsid w:val="3B9B74B6"/>
    <w:rsid w:val="41EB365A"/>
    <w:rsid w:val="56363F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5">
    <w:name w:val="heading 1"/>
    <w:basedOn w:val="1"/>
    <w:next w:val="1"/>
    <w:qFormat/>
    <w:uiPriority w:val="0"/>
    <w:pPr>
      <w:keepNext/>
      <w:keepLines/>
      <w:spacing w:before="340" w:after="330" w:line="578" w:lineRule="auto"/>
      <w:jc w:val="center"/>
      <w:outlineLvl w:val="0"/>
    </w:pPr>
    <w:rPr>
      <w:rFonts w:hAnsi="宋体"/>
      <w:b/>
      <w:bCs/>
      <w:kern w:val="44"/>
      <w:sz w:val="36"/>
      <w:szCs w:val="44"/>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customStyle="1" w:styleId="3">
    <w:name w:val="Default"/>
    <w:next w:val="4"/>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styleId="4">
    <w:name w:val="caption"/>
    <w:basedOn w:val="1"/>
    <w:next w:val="1"/>
    <w:qFormat/>
    <w:uiPriority w:val="35"/>
    <w:rPr>
      <w:rFonts w:ascii="Arial" w:hAnsi="Arial" w:eastAsia="黑体"/>
      <w:sz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飘</cp:lastModifiedBy>
  <dcterms:modified xsi:type="dcterms:W3CDTF">2024-01-17T01:32:10Z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F1383041F2EC4E57BF797C8CDC1023D1</vt:lpwstr>
  </property>
</Properties>
</file>