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numPr>
          <w:ilvl w:val="0"/>
          <w:numId w:val="0"/>
        </w:numPr>
        <w:kinsoku/>
        <w:wordWrap/>
        <w:overflowPunct/>
        <w:topLinePunct w:val="0"/>
        <w:autoSpaceDE/>
        <w:autoSpaceDN/>
        <w:bidi w:val="0"/>
        <w:adjustRightInd/>
        <w:snapToGrid/>
        <w:spacing w:line="360" w:lineRule="auto"/>
        <w:jc w:val="center"/>
        <w:textAlignment w:val="auto"/>
        <w:outlineLvl w:val="0"/>
        <w:rPr>
          <w:rFonts w:hint="eastAsia" w:ascii="仿宋" w:hAnsi="仿宋" w:eastAsia="仿宋" w:cs="仿宋"/>
          <w:sz w:val="28"/>
          <w:szCs w:val="36"/>
          <w:highlight w:val="none"/>
        </w:rPr>
      </w:pPr>
      <w:bookmarkStart w:id="0" w:name="_Toc1642"/>
      <w:bookmarkStart w:id="1" w:name="_Toc10347"/>
      <w:bookmarkStart w:id="2" w:name="_Toc23643"/>
      <w:bookmarkStart w:id="3" w:name="_Toc27217"/>
      <w:r>
        <w:rPr>
          <w:rFonts w:hint="eastAsia" w:ascii="仿宋" w:hAnsi="仿宋" w:eastAsia="仿宋" w:cs="仿宋"/>
          <w:b/>
          <w:bCs/>
          <w:color w:val="000000"/>
          <w:sz w:val="36"/>
          <w:szCs w:val="36"/>
          <w:highlight w:val="none"/>
          <w:lang w:val="en-US" w:eastAsia="zh-CN"/>
        </w:rPr>
        <w:t>第五章  采购项目技术、服务、政府采购合同内容条款及其他商务要求</w:t>
      </w:r>
      <w:bookmarkEnd w:id="0"/>
      <w:bookmarkEnd w:id="1"/>
      <w:bookmarkEnd w:id="2"/>
      <w:bookmarkEnd w:id="3"/>
    </w:p>
    <w:p>
      <w:pPr>
        <w:pStyle w:val="2"/>
        <w:keepNext w:val="0"/>
        <w:keepLines w:val="0"/>
        <w:pageBreakBefore w:val="0"/>
        <w:widowControl w:val="0"/>
        <w:kinsoku/>
        <w:wordWrap/>
        <w:overflowPunct/>
        <w:topLinePunct w:val="0"/>
        <w:autoSpaceDE/>
        <w:autoSpaceDN/>
        <w:bidi w:val="0"/>
        <w:adjustRightInd/>
        <w:snapToGrid/>
        <w:spacing w:before="91" w:line="240" w:lineRule="auto"/>
        <w:ind w:left="337"/>
        <w:textAlignment w:val="auto"/>
        <w:rPr>
          <w:rFonts w:hint="eastAsia" w:ascii="仿宋" w:hAnsi="仿宋" w:eastAsia="仿宋" w:cs="仿宋"/>
          <w:sz w:val="24"/>
          <w:szCs w:val="24"/>
        </w:rPr>
      </w:pPr>
      <w:r>
        <w:rPr>
          <w:rFonts w:hint="eastAsia" w:ascii="仿宋" w:hAnsi="仿宋" w:eastAsia="仿宋" w:cs="仿宋"/>
          <w:spacing w:val="-3"/>
          <w:sz w:val="24"/>
          <w:szCs w:val="24"/>
        </w:rPr>
        <w:t>一、项目概况</w:t>
      </w:r>
      <w:bookmarkStart w:id="4" w:name="_GoBack"/>
      <w:bookmarkEnd w:id="4"/>
    </w:p>
    <w:p>
      <w:pPr>
        <w:keepNext w:val="0"/>
        <w:keepLines w:val="0"/>
        <w:pageBreakBefore w:val="0"/>
        <w:widowControl w:val="0"/>
        <w:kinsoku/>
        <w:wordWrap/>
        <w:overflowPunct/>
        <w:topLinePunct w:val="0"/>
        <w:autoSpaceDE/>
        <w:autoSpaceDN/>
        <w:bidi w:val="0"/>
        <w:adjustRightInd/>
        <w:snapToGrid/>
        <w:spacing w:before="276" w:line="240" w:lineRule="auto"/>
        <w:ind w:left="914"/>
        <w:textAlignment w:val="auto"/>
        <w:rPr>
          <w:rFonts w:hint="eastAsia" w:ascii="仿宋" w:hAnsi="仿宋" w:eastAsia="仿宋" w:cs="仿宋"/>
          <w:sz w:val="24"/>
          <w:szCs w:val="24"/>
        </w:rPr>
      </w:pPr>
      <w:r>
        <w:rPr>
          <w:rFonts w:hint="eastAsia" w:ascii="仿宋" w:hAnsi="仿宋" w:eastAsia="仿宋" w:cs="仿宋"/>
          <w:position w:val="16"/>
          <w:sz w:val="24"/>
          <w:szCs w:val="24"/>
        </w:rPr>
        <w:t>1、</w:t>
      </w:r>
      <w:r>
        <w:rPr>
          <w:rFonts w:hint="eastAsia" w:ascii="仿宋" w:hAnsi="仿宋" w:eastAsia="仿宋" w:cs="仿宋"/>
          <w:position w:val="16"/>
          <w:sz w:val="24"/>
          <w:szCs w:val="24"/>
          <w:lang w:val="en-US" w:eastAsia="zh-CN"/>
        </w:rPr>
        <w:t>本次为翠屏区2023年风吸式太阳能杀虫灯采购项目（二次）。本项目共1 包,采购预算为：1000000.00元</w:t>
      </w:r>
    </w:p>
    <w:p>
      <w:pPr>
        <w:keepNext w:val="0"/>
        <w:keepLines w:val="0"/>
        <w:pageBreakBefore w:val="0"/>
        <w:widowControl w:val="0"/>
        <w:kinsoku/>
        <w:wordWrap/>
        <w:overflowPunct/>
        <w:topLinePunct w:val="0"/>
        <w:autoSpaceDE/>
        <w:autoSpaceDN/>
        <w:bidi w:val="0"/>
        <w:adjustRightInd/>
        <w:snapToGrid/>
        <w:spacing w:line="240" w:lineRule="auto"/>
        <w:ind w:left="896"/>
        <w:textAlignment w:val="auto"/>
        <w:rPr>
          <w:rFonts w:hint="eastAsia" w:ascii="仿宋" w:hAnsi="仿宋" w:eastAsia="仿宋" w:cs="仿宋"/>
          <w:sz w:val="24"/>
          <w:szCs w:val="24"/>
        </w:rPr>
      </w:pPr>
      <w:r>
        <w:rPr>
          <w:rFonts w:hint="eastAsia" w:ascii="仿宋" w:hAnsi="仿宋" w:eastAsia="仿宋" w:cs="仿宋"/>
          <w:spacing w:val="-1"/>
          <w:sz w:val="24"/>
          <w:szCs w:val="24"/>
        </w:rPr>
        <w:t>2、本项目采购标的与所属行业：</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tbl>
      <w:tblPr>
        <w:tblStyle w:val="6"/>
        <w:tblW w:w="9544"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1009"/>
        <w:gridCol w:w="3740"/>
        <w:gridCol w:w="2320"/>
        <w:gridCol w:w="247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00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164" w:line="240" w:lineRule="auto"/>
              <w:ind w:left="241"/>
              <w:textAlignment w:val="auto"/>
              <w:rPr>
                <w:rFonts w:hint="eastAsia" w:ascii="仿宋" w:hAnsi="仿宋" w:eastAsia="仿宋" w:cs="仿宋"/>
                <w:sz w:val="24"/>
                <w:szCs w:val="24"/>
              </w:rPr>
            </w:pPr>
            <w:r>
              <w:rPr>
                <w:rFonts w:hint="eastAsia" w:ascii="仿宋" w:hAnsi="仿宋" w:eastAsia="仿宋" w:cs="仿宋"/>
                <w:spacing w:val="-9"/>
                <w:sz w:val="24"/>
                <w:szCs w:val="24"/>
              </w:rPr>
              <w:t>序号</w:t>
            </w:r>
          </w:p>
        </w:tc>
        <w:tc>
          <w:tcPr>
            <w:tcW w:w="3740"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164" w:line="240" w:lineRule="auto"/>
              <w:ind w:left="1324"/>
              <w:textAlignment w:val="auto"/>
              <w:rPr>
                <w:rFonts w:hint="eastAsia" w:ascii="仿宋" w:hAnsi="仿宋" w:eastAsia="仿宋" w:cs="仿宋"/>
                <w:sz w:val="24"/>
                <w:szCs w:val="24"/>
              </w:rPr>
            </w:pPr>
            <w:r>
              <w:rPr>
                <w:rFonts w:hint="eastAsia" w:ascii="仿宋" w:hAnsi="仿宋" w:eastAsia="仿宋" w:cs="仿宋"/>
                <w:spacing w:val="-5"/>
                <w:sz w:val="24"/>
                <w:szCs w:val="24"/>
              </w:rPr>
              <w:t>标的名称</w:t>
            </w:r>
          </w:p>
        </w:tc>
        <w:tc>
          <w:tcPr>
            <w:tcW w:w="2320"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164" w:line="240" w:lineRule="auto"/>
              <w:ind w:left="617"/>
              <w:textAlignment w:val="auto"/>
              <w:rPr>
                <w:rFonts w:hint="eastAsia" w:ascii="仿宋" w:hAnsi="仿宋" w:eastAsia="仿宋" w:cs="仿宋"/>
                <w:sz w:val="24"/>
                <w:szCs w:val="24"/>
              </w:rPr>
            </w:pPr>
            <w:r>
              <w:rPr>
                <w:rFonts w:hint="eastAsia" w:ascii="仿宋" w:hAnsi="仿宋" w:eastAsia="仿宋" w:cs="仿宋"/>
                <w:spacing w:val="-5"/>
                <w:sz w:val="24"/>
                <w:szCs w:val="24"/>
              </w:rPr>
              <w:t>所属行业</w:t>
            </w:r>
          </w:p>
        </w:tc>
        <w:tc>
          <w:tcPr>
            <w:tcW w:w="2475"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164" w:line="240" w:lineRule="auto"/>
              <w:ind w:left="974"/>
              <w:textAlignment w:val="auto"/>
              <w:rPr>
                <w:rFonts w:hint="eastAsia" w:ascii="仿宋" w:hAnsi="仿宋" w:eastAsia="仿宋" w:cs="仿宋"/>
                <w:sz w:val="24"/>
                <w:szCs w:val="24"/>
              </w:rPr>
            </w:pPr>
            <w:r>
              <w:rPr>
                <w:rFonts w:hint="eastAsia" w:ascii="仿宋" w:hAnsi="仿宋" w:eastAsia="仿宋" w:cs="仿宋"/>
                <w:spacing w:val="-10"/>
                <w:sz w:val="24"/>
                <w:szCs w:val="24"/>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1009"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209" w:line="240" w:lineRule="auto"/>
              <w:ind w:left="462"/>
              <w:textAlignment w:val="auto"/>
              <w:rPr>
                <w:rFonts w:hint="eastAsia" w:ascii="仿宋" w:hAnsi="仿宋" w:eastAsia="仿宋" w:cs="仿宋"/>
                <w:sz w:val="24"/>
                <w:szCs w:val="24"/>
              </w:rPr>
            </w:pPr>
            <w:r>
              <w:rPr>
                <w:rFonts w:hint="eastAsia" w:ascii="仿宋" w:hAnsi="仿宋" w:eastAsia="仿宋" w:cs="仿宋"/>
                <w:sz w:val="24"/>
                <w:szCs w:val="24"/>
              </w:rPr>
              <w:t>1</w:t>
            </w:r>
          </w:p>
        </w:tc>
        <w:tc>
          <w:tcPr>
            <w:tcW w:w="3740"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161" w:line="240" w:lineRule="auto"/>
              <w:ind w:left="1046"/>
              <w:textAlignment w:val="auto"/>
              <w:rPr>
                <w:rFonts w:hint="eastAsia" w:ascii="仿宋" w:hAnsi="仿宋" w:eastAsia="仿宋" w:cs="仿宋"/>
                <w:sz w:val="24"/>
                <w:szCs w:val="24"/>
              </w:rPr>
            </w:pPr>
            <w:r>
              <w:rPr>
                <w:rFonts w:hint="eastAsia" w:cs="仿宋"/>
                <w:spacing w:val="-4"/>
                <w:sz w:val="24"/>
                <w:szCs w:val="24"/>
                <w:lang w:eastAsia="zh-CN"/>
              </w:rPr>
              <w:t>风吸式</w:t>
            </w:r>
            <w:r>
              <w:rPr>
                <w:rFonts w:hint="eastAsia" w:ascii="仿宋" w:hAnsi="仿宋" w:eastAsia="仿宋" w:cs="仿宋"/>
                <w:spacing w:val="-4"/>
                <w:sz w:val="24"/>
                <w:szCs w:val="24"/>
              </w:rPr>
              <w:t>太阳能杀虫灯</w:t>
            </w:r>
          </w:p>
        </w:tc>
        <w:tc>
          <w:tcPr>
            <w:tcW w:w="2320" w:type="dxa"/>
            <w:noWrap w:val="0"/>
            <w:vAlign w:val="top"/>
          </w:tcPr>
          <w:p>
            <w:pPr>
              <w:pStyle w:val="5"/>
              <w:keepNext w:val="0"/>
              <w:keepLines w:val="0"/>
              <w:pageBreakBefore w:val="0"/>
              <w:widowControl w:val="0"/>
              <w:kinsoku/>
              <w:wordWrap/>
              <w:overflowPunct/>
              <w:topLinePunct w:val="0"/>
              <w:autoSpaceDE/>
              <w:autoSpaceDN/>
              <w:bidi w:val="0"/>
              <w:adjustRightInd/>
              <w:snapToGrid/>
              <w:spacing w:before="161" w:line="240" w:lineRule="auto"/>
              <w:ind w:left="903"/>
              <w:textAlignment w:val="auto"/>
              <w:rPr>
                <w:rFonts w:hint="eastAsia" w:ascii="仿宋" w:hAnsi="仿宋" w:eastAsia="仿宋" w:cs="仿宋"/>
                <w:sz w:val="24"/>
                <w:szCs w:val="24"/>
              </w:rPr>
            </w:pPr>
            <w:r>
              <w:rPr>
                <w:rFonts w:hint="eastAsia" w:ascii="仿宋" w:hAnsi="仿宋" w:eastAsia="仿宋" w:cs="仿宋"/>
                <w:spacing w:val="-12"/>
                <w:sz w:val="24"/>
                <w:szCs w:val="24"/>
              </w:rPr>
              <w:t>工业</w:t>
            </w:r>
          </w:p>
        </w:tc>
        <w:tc>
          <w:tcPr>
            <w:tcW w:w="2475" w:type="dxa"/>
            <w:noWrap w:val="0"/>
            <w:vAlign w:val="top"/>
          </w:tcPr>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tc>
      </w:tr>
    </w:tbl>
    <w:p>
      <w:pPr>
        <w:pStyle w:val="2"/>
        <w:keepNext w:val="0"/>
        <w:keepLines w:val="0"/>
        <w:pageBreakBefore w:val="0"/>
        <w:widowControl w:val="0"/>
        <w:numPr>
          <w:ilvl w:val="0"/>
          <w:numId w:val="0"/>
        </w:numPr>
        <w:kinsoku/>
        <w:wordWrap/>
        <w:overflowPunct/>
        <w:topLinePunct w:val="0"/>
        <w:autoSpaceDE/>
        <w:autoSpaceDN/>
        <w:bidi w:val="0"/>
        <w:adjustRightInd/>
        <w:snapToGrid/>
        <w:spacing w:before="91" w:line="240" w:lineRule="auto"/>
        <w:ind w:leftChars="200"/>
        <w:textAlignment w:val="auto"/>
        <w:rPr>
          <w:rFonts w:hint="eastAsia" w:ascii="仿宋" w:hAnsi="仿宋" w:eastAsia="仿宋" w:cs="仿宋"/>
          <w:color w:val="auto"/>
          <w:spacing w:val="-1"/>
          <w:sz w:val="24"/>
          <w:szCs w:val="24"/>
        </w:rPr>
      </w:pPr>
      <w:r>
        <w:rPr>
          <w:rFonts w:hint="eastAsia" w:ascii="仿宋" w:hAnsi="仿宋" w:eastAsia="仿宋" w:cs="仿宋"/>
          <w:color w:val="auto"/>
          <w:sz w:val="24"/>
          <w:szCs w:val="24"/>
          <w:highlight w:val="none"/>
          <w:lang w:val="en-US" w:eastAsia="zh-CN"/>
        </w:rPr>
        <w:t>二、★</w:t>
      </w:r>
      <w:r>
        <w:rPr>
          <w:rFonts w:hint="eastAsia" w:ascii="仿宋" w:hAnsi="仿宋" w:eastAsia="仿宋" w:cs="仿宋"/>
          <w:color w:val="auto"/>
          <w:spacing w:val="-1"/>
          <w:sz w:val="24"/>
          <w:szCs w:val="24"/>
        </w:rPr>
        <w:t>采购清单及技术参数要求</w:t>
      </w:r>
    </w:p>
    <w:p>
      <w:pPr>
        <w:pStyle w:val="2"/>
        <w:keepNext w:val="0"/>
        <w:keepLines w:val="0"/>
        <w:pageBreakBefore w:val="0"/>
        <w:widowControl w:val="0"/>
        <w:numPr>
          <w:ilvl w:val="0"/>
          <w:numId w:val="0"/>
        </w:numPr>
        <w:kinsoku/>
        <w:wordWrap/>
        <w:overflowPunct/>
        <w:topLinePunct w:val="0"/>
        <w:autoSpaceDE/>
        <w:autoSpaceDN/>
        <w:bidi w:val="0"/>
        <w:adjustRightInd/>
        <w:snapToGrid/>
        <w:spacing w:before="91" w:line="240" w:lineRule="auto"/>
        <w:ind w:leftChars="200"/>
        <w:textAlignment w:val="auto"/>
        <w:rPr>
          <w:rFonts w:hint="eastAsia" w:ascii="仿宋" w:hAnsi="仿宋" w:eastAsia="仿宋" w:cs="仿宋"/>
          <w:b/>
          <w:bCs/>
          <w:color w:val="auto"/>
          <w:spacing w:val="-1"/>
          <w:sz w:val="24"/>
          <w:szCs w:val="24"/>
          <w:lang w:eastAsia="zh-CN"/>
        </w:rPr>
      </w:pPr>
      <w:r>
        <w:rPr>
          <w:rFonts w:hint="eastAsia" w:ascii="仿宋" w:hAnsi="仿宋" w:eastAsia="仿宋" w:cs="仿宋"/>
          <w:b/>
          <w:bCs/>
          <w:color w:val="auto"/>
          <w:spacing w:val="-1"/>
          <w:sz w:val="24"/>
          <w:szCs w:val="24"/>
          <w:lang w:eastAsia="zh-CN"/>
        </w:rPr>
        <w:t>采购清单</w:t>
      </w:r>
    </w:p>
    <w:tbl>
      <w:tblPr>
        <w:tblStyle w:val="6"/>
        <w:tblW w:w="9815" w:type="dxa"/>
        <w:tblInd w:w="108" w:type="dxa"/>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Layout w:type="fixed"/>
        <w:tblCellMar>
          <w:top w:w="0" w:type="dxa"/>
          <w:left w:w="0" w:type="dxa"/>
          <w:bottom w:w="0" w:type="dxa"/>
          <w:right w:w="0" w:type="dxa"/>
        </w:tblCellMar>
      </w:tblPr>
      <w:tblGrid>
        <w:gridCol w:w="610"/>
        <w:gridCol w:w="1466"/>
        <w:gridCol w:w="749"/>
        <w:gridCol w:w="1590"/>
        <w:gridCol w:w="1050"/>
        <w:gridCol w:w="2265"/>
        <w:gridCol w:w="2085"/>
      </w:tblGrid>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831" w:hRule="atLeast"/>
        </w:trPr>
        <w:tc>
          <w:tcPr>
            <w:tcW w:w="61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4" w:line="240" w:lineRule="auto"/>
              <w:ind w:left="241"/>
              <w:jc w:val="center"/>
              <w:textAlignment w:val="auto"/>
              <w:rPr>
                <w:rFonts w:hint="eastAsia" w:ascii="仿宋" w:hAnsi="仿宋" w:eastAsia="仿宋" w:cs="仿宋"/>
                <w:color w:val="auto"/>
                <w:sz w:val="24"/>
                <w:szCs w:val="24"/>
              </w:rPr>
            </w:pPr>
            <w:r>
              <w:rPr>
                <w:rFonts w:hint="eastAsia" w:ascii="仿宋" w:hAnsi="仿宋" w:eastAsia="仿宋" w:cs="仿宋"/>
                <w:color w:val="auto"/>
                <w:spacing w:val="-9"/>
                <w:sz w:val="24"/>
                <w:szCs w:val="24"/>
              </w:rPr>
              <w:t>序号</w:t>
            </w:r>
          </w:p>
        </w:tc>
        <w:tc>
          <w:tcPr>
            <w:tcW w:w="1466"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4" w:line="240" w:lineRule="auto"/>
              <w:jc w:val="center"/>
              <w:textAlignment w:val="auto"/>
              <w:rPr>
                <w:rFonts w:hint="eastAsia" w:ascii="仿宋" w:hAnsi="仿宋" w:eastAsia="仿宋" w:cs="仿宋"/>
                <w:color w:val="auto"/>
                <w:sz w:val="24"/>
                <w:szCs w:val="24"/>
              </w:rPr>
            </w:pPr>
            <w:r>
              <w:rPr>
                <w:rFonts w:hint="eastAsia" w:cs="仿宋"/>
                <w:color w:val="auto"/>
                <w:spacing w:val="-5"/>
                <w:sz w:val="24"/>
                <w:szCs w:val="24"/>
                <w:lang w:eastAsia="zh-CN"/>
              </w:rPr>
              <w:t>产品</w:t>
            </w:r>
            <w:r>
              <w:rPr>
                <w:rFonts w:hint="eastAsia" w:ascii="仿宋" w:hAnsi="仿宋" w:eastAsia="仿宋" w:cs="仿宋"/>
                <w:color w:val="auto"/>
                <w:spacing w:val="-5"/>
                <w:sz w:val="24"/>
                <w:szCs w:val="24"/>
              </w:rPr>
              <w:t>名称</w:t>
            </w:r>
          </w:p>
        </w:tc>
        <w:tc>
          <w:tcPr>
            <w:tcW w:w="74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4" w:line="240" w:lineRule="auto"/>
              <w:jc w:val="center"/>
              <w:textAlignment w:val="auto"/>
              <w:rPr>
                <w:rFonts w:hint="eastAsia" w:ascii="仿宋" w:hAnsi="仿宋" w:eastAsia="仿宋" w:cs="仿宋"/>
                <w:color w:val="auto"/>
                <w:sz w:val="24"/>
                <w:szCs w:val="24"/>
                <w:lang w:eastAsia="zh-CN"/>
              </w:rPr>
            </w:pPr>
            <w:r>
              <w:rPr>
                <w:rFonts w:hint="eastAsia" w:cs="仿宋"/>
                <w:color w:val="auto"/>
                <w:spacing w:val="-5"/>
                <w:sz w:val="24"/>
                <w:szCs w:val="24"/>
                <w:lang w:eastAsia="zh-CN"/>
              </w:rPr>
              <w:t>结算单位</w:t>
            </w:r>
          </w:p>
        </w:tc>
        <w:tc>
          <w:tcPr>
            <w:tcW w:w="159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4" w:line="240" w:lineRule="auto"/>
              <w:jc w:val="center"/>
              <w:textAlignment w:val="auto"/>
              <w:rPr>
                <w:rFonts w:hint="default" w:ascii="仿宋" w:hAnsi="仿宋" w:eastAsia="仿宋" w:cs="仿宋"/>
                <w:color w:val="auto"/>
                <w:sz w:val="24"/>
                <w:szCs w:val="24"/>
                <w:lang w:val="en-US" w:eastAsia="zh-CN"/>
              </w:rPr>
            </w:pPr>
            <w:r>
              <w:rPr>
                <w:rFonts w:hint="eastAsia" w:cs="仿宋"/>
                <w:color w:val="auto"/>
                <w:sz w:val="24"/>
                <w:szCs w:val="24"/>
                <w:lang w:val="en-US" w:eastAsia="zh-CN"/>
              </w:rPr>
              <w:t>单价最高限价（元）</w:t>
            </w:r>
          </w:p>
        </w:tc>
        <w:tc>
          <w:tcPr>
            <w:tcW w:w="105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4" w:line="240" w:lineRule="auto"/>
              <w:jc w:val="center"/>
              <w:textAlignment w:val="auto"/>
              <w:rPr>
                <w:rFonts w:hint="eastAsia" w:ascii="仿宋" w:hAnsi="仿宋" w:eastAsia="仿宋" w:cs="仿宋"/>
                <w:color w:val="auto"/>
                <w:spacing w:val="-10"/>
                <w:sz w:val="24"/>
                <w:szCs w:val="24"/>
                <w:lang w:eastAsia="zh-CN"/>
              </w:rPr>
            </w:pPr>
            <w:r>
              <w:rPr>
                <w:rFonts w:hint="eastAsia" w:cs="仿宋"/>
                <w:color w:val="auto"/>
                <w:spacing w:val="-10"/>
                <w:sz w:val="24"/>
                <w:szCs w:val="24"/>
                <w:lang w:eastAsia="zh-CN"/>
              </w:rPr>
              <w:t>总价（元）</w:t>
            </w:r>
          </w:p>
        </w:tc>
        <w:tc>
          <w:tcPr>
            <w:tcW w:w="2265"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4" w:line="240" w:lineRule="auto"/>
              <w:jc w:val="center"/>
              <w:textAlignment w:val="auto"/>
              <w:rPr>
                <w:rFonts w:hint="eastAsia" w:cs="仿宋"/>
                <w:color w:val="auto"/>
                <w:spacing w:val="-10"/>
                <w:sz w:val="24"/>
                <w:szCs w:val="24"/>
                <w:lang w:eastAsia="zh-CN"/>
              </w:rPr>
            </w:pPr>
            <w:r>
              <w:rPr>
                <w:rFonts w:hint="eastAsia" w:cs="仿宋"/>
                <w:color w:val="auto"/>
                <w:spacing w:val="-10"/>
                <w:sz w:val="24"/>
                <w:szCs w:val="24"/>
                <w:lang w:eastAsia="zh-CN"/>
              </w:rPr>
              <w:t>数量</w:t>
            </w:r>
          </w:p>
        </w:tc>
        <w:tc>
          <w:tcPr>
            <w:tcW w:w="2085"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4" w:line="240" w:lineRule="auto"/>
              <w:jc w:val="center"/>
              <w:textAlignment w:val="auto"/>
              <w:rPr>
                <w:rFonts w:hint="eastAsia" w:cs="仿宋"/>
                <w:color w:val="auto"/>
                <w:spacing w:val="-10"/>
                <w:sz w:val="24"/>
                <w:szCs w:val="24"/>
                <w:lang w:eastAsia="zh-CN"/>
              </w:rPr>
            </w:pPr>
            <w:r>
              <w:rPr>
                <w:rFonts w:hint="eastAsia" w:cs="仿宋"/>
                <w:color w:val="auto"/>
                <w:spacing w:val="-10"/>
                <w:sz w:val="24"/>
                <w:szCs w:val="24"/>
                <w:lang w:eastAsia="zh-CN"/>
              </w:rPr>
              <w:t>备注</w:t>
            </w:r>
          </w:p>
        </w:tc>
      </w:tr>
      <w:tr>
        <w:tblPrEx>
          <w:tblBorders>
            <w:top w:val="single" w:color="000000" w:sz="2" w:space="0"/>
            <w:left w:val="single" w:color="000000" w:sz="2" w:space="0"/>
            <w:bottom w:val="single" w:color="000000" w:sz="2" w:space="0"/>
            <w:right w:val="single" w:color="000000" w:sz="2" w:space="0"/>
            <w:insideH w:val="single" w:color="000000" w:sz="2" w:space="0"/>
            <w:insideV w:val="single" w:color="000000" w:sz="2" w:space="0"/>
          </w:tblBorders>
          <w:tblCellMar>
            <w:top w:w="0" w:type="dxa"/>
            <w:left w:w="0" w:type="dxa"/>
            <w:bottom w:w="0" w:type="dxa"/>
            <w:right w:w="0" w:type="dxa"/>
          </w:tblCellMar>
        </w:tblPrEx>
        <w:trPr>
          <w:trHeight w:val="507" w:hRule="atLeast"/>
        </w:trPr>
        <w:tc>
          <w:tcPr>
            <w:tcW w:w="610"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209" w:line="240" w:lineRule="auto"/>
              <w:ind w:left="462"/>
              <w:jc w:val="center"/>
              <w:textAlignment w:val="auto"/>
              <w:rPr>
                <w:rFonts w:hint="eastAsia" w:ascii="仿宋" w:hAnsi="仿宋" w:eastAsia="仿宋" w:cs="仿宋"/>
                <w:color w:val="auto"/>
                <w:sz w:val="24"/>
                <w:szCs w:val="24"/>
              </w:rPr>
            </w:pPr>
            <w:r>
              <w:rPr>
                <w:rFonts w:hint="eastAsia" w:ascii="仿宋" w:hAnsi="仿宋" w:eastAsia="仿宋" w:cs="仿宋"/>
                <w:color w:val="auto"/>
                <w:sz w:val="24"/>
                <w:szCs w:val="24"/>
              </w:rPr>
              <w:t>1</w:t>
            </w:r>
          </w:p>
        </w:tc>
        <w:tc>
          <w:tcPr>
            <w:tcW w:w="1466"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1" w:line="240" w:lineRule="auto"/>
              <w:jc w:val="center"/>
              <w:textAlignment w:val="auto"/>
              <w:rPr>
                <w:rFonts w:hint="eastAsia" w:ascii="仿宋" w:hAnsi="仿宋" w:eastAsia="仿宋" w:cs="仿宋"/>
                <w:color w:val="auto"/>
                <w:sz w:val="24"/>
                <w:szCs w:val="24"/>
              </w:rPr>
            </w:pPr>
            <w:r>
              <w:rPr>
                <w:rFonts w:hint="eastAsia" w:cs="仿宋"/>
                <w:spacing w:val="-4"/>
                <w:sz w:val="24"/>
                <w:szCs w:val="24"/>
                <w:lang w:eastAsia="zh-CN"/>
              </w:rPr>
              <w:t>风吸式</w:t>
            </w:r>
            <w:r>
              <w:rPr>
                <w:rFonts w:hint="eastAsia" w:ascii="仿宋" w:hAnsi="仿宋" w:eastAsia="仿宋" w:cs="仿宋"/>
                <w:color w:val="auto"/>
                <w:spacing w:val="-4"/>
                <w:sz w:val="24"/>
                <w:szCs w:val="24"/>
              </w:rPr>
              <w:t>太阳能杀虫灯</w:t>
            </w:r>
          </w:p>
        </w:tc>
        <w:tc>
          <w:tcPr>
            <w:tcW w:w="749" w:type="dxa"/>
            <w:noWrap w:val="0"/>
            <w:vAlign w:val="center"/>
          </w:tcPr>
          <w:p>
            <w:pPr>
              <w:pStyle w:val="5"/>
              <w:keepNext w:val="0"/>
              <w:keepLines w:val="0"/>
              <w:pageBreakBefore w:val="0"/>
              <w:widowControl w:val="0"/>
              <w:kinsoku/>
              <w:wordWrap/>
              <w:overflowPunct/>
              <w:topLinePunct w:val="0"/>
              <w:autoSpaceDE/>
              <w:autoSpaceDN/>
              <w:bidi w:val="0"/>
              <w:adjustRightInd/>
              <w:snapToGrid/>
              <w:spacing w:before="161" w:line="240" w:lineRule="auto"/>
              <w:jc w:val="center"/>
              <w:textAlignment w:val="auto"/>
              <w:rPr>
                <w:rFonts w:hint="eastAsia" w:ascii="仿宋" w:hAnsi="仿宋" w:eastAsia="仿宋" w:cs="仿宋"/>
                <w:color w:val="auto"/>
                <w:sz w:val="24"/>
                <w:szCs w:val="24"/>
                <w:lang w:eastAsia="zh-CN"/>
              </w:rPr>
            </w:pPr>
            <w:r>
              <w:rPr>
                <w:rFonts w:hint="eastAsia" w:cs="仿宋"/>
                <w:color w:val="auto"/>
                <w:spacing w:val="-12"/>
                <w:sz w:val="24"/>
                <w:szCs w:val="24"/>
                <w:lang w:eastAsia="zh-CN"/>
              </w:rPr>
              <w:t>盏</w:t>
            </w:r>
          </w:p>
        </w:tc>
        <w:tc>
          <w:tcPr>
            <w:tcW w:w="159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2500</w:t>
            </w:r>
          </w:p>
        </w:tc>
        <w:tc>
          <w:tcPr>
            <w:tcW w:w="1050"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default"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1000000</w:t>
            </w:r>
          </w:p>
        </w:tc>
        <w:tc>
          <w:tcPr>
            <w:tcW w:w="226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数量=总价/投标单价</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p>
        </w:tc>
        <w:tc>
          <w:tcPr>
            <w:tcW w:w="2085" w:type="dxa"/>
            <w:noWrap w:val="0"/>
            <w:vAlign w:val="center"/>
          </w:tcPr>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r>
              <w:rPr>
                <w:rFonts w:hint="eastAsia" w:ascii="仿宋" w:hAnsi="仿宋" w:eastAsia="仿宋" w:cs="仿宋"/>
                <w:color w:val="auto"/>
                <w:sz w:val="24"/>
                <w:szCs w:val="24"/>
                <w:lang w:val="en-US" w:eastAsia="zh-CN"/>
              </w:rPr>
              <w:t>本项目固定总价，采用单价招标，据实结算。</w:t>
            </w:r>
          </w:p>
          <w:p>
            <w:pPr>
              <w:keepNext w:val="0"/>
              <w:keepLines w:val="0"/>
              <w:pageBreakBefore w:val="0"/>
              <w:widowControl w:val="0"/>
              <w:kinsoku/>
              <w:wordWrap/>
              <w:overflowPunct/>
              <w:topLinePunct w:val="0"/>
              <w:autoSpaceDE/>
              <w:autoSpaceDN/>
              <w:bidi w:val="0"/>
              <w:adjustRightInd/>
              <w:snapToGrid/>
              <w:spacing w:line="240" w:lineRule="auto"/>
              <w:jc w:val="center"/>
              <w:textAlignment w:val="auto"/>
              <w:rPr>
                <w:rFonts w:hint="eastAsia" w:ascii="仿宋" w:hAnsi="仿宋" w:eastAsia="仿宋" w:cs="仿宋"/>
                <w:color w:val="auto"/>
                <w:sz w:val="24"/>
                <w:szCs w:val="24"/>
                <w:lang w:val="en-US" w:eastAsia="zh-CN"/>
              </w:rPr>
            </w:pPr>
          </w:p>
        </w:tc>
      </w:tr>
    </w:tbl>
    <w:p>
      <w:pPr>
        <w:keepNext w:val="0"/>
        <w:keepLines w:val="0"/>
        <w:pageBreakBefore w:val="0"/>
        <w:widowControl w:val="0"/>
        <w:kinsoku/>
        <w:wordWrap/>
        <w:overflowPunct/>
        <w:topLinePunct w:val="0"/>
        <w:autoSpaceDE/>
        <w:autoSpaceDN/>
        <w:bidi w:val="0"/>
        <w:adjustRightInd/>
        <w:snapToGrid/>
        <w:spacing w:line="240" w:lineRule="auto"/>
        <w:ind w:firstLine="480" w:firstLineChars="200"/>
        <w:textAlignment w:val="auto"/>
        <w:rPr>
          <w:rFonts w:hint="eastAsia" w:ascii="仿宋" w:hAnsi="仿宋" w:eastAsia="仿宋" w:cs="仿宋"/>
          <w:color w:val="auto"/>
          <w:sz w:val="24"/>
          <w:szCs w:val="24"/>
          <w:lang w:eastAsia="zh-CN"/>
        </w:rPr>
      </w:pPr>
    </w:p>
    <w:p>
      <w:pPr>
        <w:keepNext w:val="0"/>
        <w:keepLines w:val="0"/>
        <w:pageBreakBefore w:val="0"/>
        <w:widowControl w:val="0"/>
        <w:kinsoku/>
        <w:wordWrap/>
        <w:overflowPunct/>
        <w:topLinePunct w:val="0"/>
        <w:autoSpaceDE/>
        <w:autoSpaceDN/>
        <w:bidi w:val="0"/>
        <w:adjustRightInd/>
        <w:snapToGrid/>
        <w:spacing w:line="240" w:lineRule="auto"/>
        <w:ind w:firstLine="482" w:firstLineChars="200"/>
        <w:textAlignment w:val="auto"/>
        <w:rPr>
          <w:rFonts w:hint="eastAsia" w:ascii="仿宋" w:hAnsi="仿宋" w:eastAsia="仿宋" w:cs="仿宋"/>
          <w:b/>
          <w:bCs/>
          <w:color w:val="auto"/>
          <w:sz w:val="24"/>
          <w:szCs w:val="24"/>
          <w:lang w:eastAsia="zh-CN"/>
        </w:rPr>
      </w:pPr>
      <w:r>
        <w:rPr>
          <w:rFonts w:hint="eastAsia" w:ascii="仿宋" w:hAnsi="仿宋" w:eastAsia="仿宋" w:cs="仿宋"/>
          <w:b/>
          <w:bCs/>
          <w:color w:val="auto"/>
          <w:sz w:val="24"/>
          <w:szCs w:val="24"/>
          <w:lang w:eastAsia="zh-CN"/>
        </w:rPr>
        <w:t>技术参数要求</w:t>
      </w:r>
    </w:p>
    <w:p>
      <w:pPr>
        <w:keepNext w:val="0"/>
        <w:keepLines w:val="0"/>
        <w:pageBreakBefore w:val="0"/>
        <w:widowControl w:val="0"/>
        <w:kinsoku/>
        <w:wordWrap/>
        <w:overflowPunct/>
        <w:topLinePunct w:val="0"/>
        <w:autoSpaceDE/>
        <w:autoSpaceDN/>
        <w:bidi w:val="0"/>
        <w:adjustRightInd/>
        <w:snapToGrid/>
        <w:spacing w:line="240" w:lineRule="auto"/>
        <w:textAlignment w:val="auto"/>
        <w:rPr>
          <w:rFonts w:hint="eastAsia" w:ascii="仿宋" w:hAnsi="仿宋" w:eastAsia="仿宋" w:cs="仿宋"/>
          <w:sz w:val="24"/>
          <w:szCs w:val="24"/>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★1、执行《植物保护机械 杀虫灯》国家标准GB/T24689.2-2017；</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★2、杀虫灯采取风吸式捕杀虫方式，设计新颖美观，形象体现绿色防控理念，结构牢固，采用仿生卡通造型，外壳高强度抗老化ABS塑料；</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★3、杀虫灯具有虫水分离功能，可根据光控、雨控、时控功能自动调整开合，打开时高度≥70CM，闭合时高度≤60CM；（提供第三方检测机构出具的带CMA或CNAS标识的检验报告复印件，提供</w:t>
      </w:r>
      <w:r>
        <w:rPr>
          <w:rFonts w:hint="eastAsia" w:ascii="仿宋" w:hAnsi="仿宋" w:eastAsia="仿宋" w:cs="仿宋"/>
          <w:szCs w:val="21"/>
          <w:lang w:eastAsia="zh-CN"/>
        </w:rPr>
        <w:t>图片演示说明</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★4、进风口采用喇叭口结构，直径：≥270mm；</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★5、吸虫扇采用一体化成型铸铝结构，直径：≥140mm；</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★6、进风口风速：≥4.0m/s（提供第三方检测机构出具的带CMA或CNAS标识的检验报告复印件)；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★7、蓄电池：≥15AH; </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★8、晶硅电池板：电压：≥18V，功率: ≥50Wp；</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★9、无刷直流电机：额定功率≥ 20W；电压：≥12V;</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★10、诱虫灯管：电压：≥12V；功率：≥8W； </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★11、进风口上≥3片的撞击屏，单块撞击屏面积≥74cm2（提供第三方检测机构出具的带CMA或CNAS标识的检验报告复印件)； </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★12、诱集光源波长:(400±5)nm、(420±5) nm、(450±5) nm、(575±5) nm;</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★13、整机风机防卡死功能测试：按国家标准检验风机防卡死实验后，应能正常工作。(提供第三方检测机构出具的带CMA或CNAS标识的检验报告复印件)；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★14、整机符合国家检测标准的高、低温实验：应能在温度为（-40℃）-（70℃）环境下存放后，不影响正常工作(提供第三方检测机构出具的带CMA或CNAS标识的检验报告复印件)； </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★15、整机符合国家检测标准的高湿度实验：应能在温度为（10℃）-（70℃）相对湿度不大于98%的环境正常工作(提供第三方检测机构出具的带CMA或CNAS标识的检验报告复印件)；</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★16、灯头立杆：采用热镀锌钢材矩管，表面喷塑，高度≥1150mm，周长≥590mm，壁厚≥1.2mm，接虫箱有效接虫容积≥12L，接虫箱方便清理；（提供第三方检测机构出具的带CMA或CNAS标识的检验报告复印件）</w:t>
      </w:r>
    </w:p>
    <w:p>
      <w:pPr>
        <w:spacing w:line="360" w:lineRule="auto"/>
        <w:ind w:firstLine="420" w:firstLineChars="200"/>
        <w:rPr>
          <w:rFonts w:hint="eastAsia" w:ascii="仿宋" w:hAnsi="仿宋" w:eastAsia="仿宋" w:cs="仿宋"/>
          <w:szCs w:val="21"/>
          <w:lang w:eastAsia="zh-CN"/>
        </w:rPr>
      </w:pPr>
      <w:r>
        <w:rPr>
          <w:rFonts w:hint="eastAsia" w:ascii="仿宋" w:hAnsi="仿宋" w:eastAsia="仿宋" w:cs="仿宋"/>
          <w:szCs w:val="21"/>
        </w:rPr>
        <w:t xml:space="preserve">  ★17、每个杀虫灯具有独立二维码，可以用配套的手机 APP、微信端和电脑上查询产品安装照片、地理位置及分布地图，具有害虫识别、专家咨询、每日资讯等功能；</w:t>
      </w:r>
      <w:r>
        <w:rPr>
          <w:rFonts w:hint="eastAsia" w:ascii="仿宋" w:hAnsi="仿宋" w:eastAsia="仿宋" w:cs="仿宋"/>
          <w:szCs w:val="21"/>
          <w:lang w:eastAsia="zh-CN"/>
        </w:rPr>
        <w:t>（提供图片演示说明）</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三、商务要求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（一）★签订合同时间</w:t>
      </w:r>
    </w:p>
    <w:p>
      <w:pPr>
        <w:spacing w:line="360" w:lineRule="auto"/>
        <w:ind w:firstLine="420" w:firstLineChars="200"/>
        <w:rPr>
          <w:rFonts w:ascii="仿宋" w:hAnsi="仿宋" w:eastAsia="仿宋" w:cs="仿宋"/>
          <w:szCs w:val="21"/>
        </w:rPr>
      </w:pPr>
      <w:r>
        <w:rPr>
          <w:rFonts w:hint="eastAsia" w:ascii="仿宋" w:hAnsi="仿宋" w:eastAsia="仿宋" w:cs="仿宋"/>
          <w:szCs w:val="21"/>
        </w:rPr>
        <w:t>领取成交通知书后10日内。</w:t>
      </w:r>
    </w:p>
    <w:p>
      <w:pPr>
        <w:spacing w:line="360" w:lineRule="auto"/>
        <w:ind w:firstLine="420" w:firstLineChars="200"/>
        <w:rPr>
          <w:rFonts w:ascii="仿宋" w:hAnsi="仿宋" w:eastAsia="仿宋" w:cs="仿宋"/>
          <w:szCs w:val="21"/>
        </w:rPr>
      </w:pPr>
      <w:r>
        <w:rPr>
          <w:rFonts w:hint="eastAsia" w:ascii="仿宋" w:hAnsi="仿宋" w:eastAsia="仿宋" w:cs="仿宋"/>
          <w:szCs w:val="21"/>
        </w:rPr>
        <w:t>（二）★供货、安装地点、供货时间</w:t>
      </w:r>
    </w:p>
    <w:p>
      <w:pPr>
        <w:spacing w:line="360" w:lineRule="auto"/>
        <w:ind w:firstLine="420" w:firstLineChars="200"/>
        <w:rPr>
          <w:rFonts w:ascii="仿宋" w:hAnsi="仿宋" w:eastAsia="仿宋" w:cs="仿宋"/>
          <w:szCs w:val="21"/>
        </w:rPr>
      </w:pPr>
      <w:r>
        <w:rPr>
          <w:rFonts w:hint="eastAsia" w:ascii="仿宋" w:hAnsi="仿宋" w:eastAsia="仿宋" w:cs="仿宋"/>
          <w:szCs w:val="21"/>
        </w:rPr>
        <w:t>采购人指定的地点（多个地点）。自政府采购合同签订之日起7 日内供货至采购人指定地点,21日内完成安装调试使其正常投入使用。</w:t>
      </w:r>
    </w:p>
    <w:p>
      <w:pPr>
        <w:spacing w:line="360" w:lineRule="auto"/>
        <w:ind w:firstLine="420" w:firstLineChars="200"/>
        <w:rPr>
          <w:rFonts w:ascii="仿宋" w:hAnsi="仿宋" w:eastAsia="仿宋" w:cs="仿宋"/>
          <w:szCs w:val="21"/>
        </w:rPr>
      </w:pPr>
      <w:r>
        <w:rPr>
          <w:rFonts w:hint="eastAsia" w:ascii="仿宋" w:hAnsi="仿宋" w:eastAsia="仿宋" w:cs="仿宋"/>
          <w:szCs w:val="21"/>
        </w:rPr>
        <w:t>（三）★质量要求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供应商须提供全新的货物(含使用说明书等)，表面无划伤、无碰撞痕迹，且权属清楚，不得侵害他人的知识产权，不得以次充好，产品来源渠道必须合法，同时应根据国家有关规定、厂家服务承诺及采购单位的要求做好售后服务工作。</w:t>
      </w:r>
    </w:p>
    <w:p>
      <w:pPr>
        <w:spacing w:line="360" w:lineRule="auto"/>
        <w:ind w:firstLine="420" w:firstLineChars="200"/>
        <w:rPr>
          <w:rFonts w:ascii="仿宋" w:hAnsi="仿宋" w:eastAsia="仿宋" w:cs="仿宋"/>
          <w:szCs w:val="21"/>
        </w:rPr>
      </w:pPr>
      <w:r>
        <w:rPr>
          <w:rFonts w:hint="eastAsia" w:ascii="仿宋" w:hAnsi="仿宋" w:eastAsia="仿宋" w:cs="仿宋"/>
          <w:szCs w:val="21"/>
        </w:rPr>
        <w:t>供应商提供的产品必须符合或优于国家标准、行业标准、地方标准等标准、规范，以及谈判文件的质量要求和技术指标与出厂标准。</w:t>
      </w:r>
    </w:p>
    <w:p>
      <w:pPr>
        <w:spacing w:line="360" w:lineRule="auto"/>
        <w:ind w:firstLine="420" w:firstLineChars="200"/>
        <w:rPr>
          <w:rFonts w:ascii="仿宋" w:hAnsi="仿宋" w:eastAsia="仿宋" w:cs="仿宋"/>
          <w:szCs w:val="21"/>
        </w:rPr>
      </w:pPr>
      <w:r>
        <w:rPr>
          <w:rFonts w:hint="eastAsia" w:ascii="仿宋" w:hAnsi="仿宋" w:eastAsia="仿宋" w:cs="仿宋"/>
          <w:szCs w:val="21"/>
        </w:rPr>
        <w:t>3.货物制造质量出现问题，供应商应负责三包(包修、包换、包退)，费用由供应商负担，采购人有权到产品生产厂家生产场地检查货物质量和生产进度。</w:t>
      </w:r>
    </w:p>
    <w:p>
      <w:pPr>
        <w:spacing w:line="360" w:lineRule="auto"/>
        <w:ind w:firstLine="420" w:firstLineChars="200"/>
        <w:rPr>
          <w:rFonts w:ascii="仿宋" w:hAnsi="仿宋" w:eastAsia="仿宋" w:cs="仿宋"/>
          <w:szCs w:val="21"/>
        </w:rPr>
      </w:pPr>
      <w:r>
        <w:rPr>
          <w:rFonts w:hint="eastAsia" w:ascii="仿宋" w:hAnsi="仿宋" w:eastAsia="仿宋" w:cs="仿宋"/>
          <w:szCs w:val="21"/>
        </w:rPr>
        <w:t>（四）★报价</w:t>
      </w:r>
    </w:p>
    <w:p>
      <w:pPr>
        <w:spacing w:line="360" w:lineRule="auto"/>
        <w:ind w:firstLine="420" w:firstLineChars="200"/>
        <w:rPr>
          <w:rFonts w:ascii="仿宋" w:hAnsi="仿宋" w:eastAsia="仿宋" w:cs="仿宋"/>
          <w:szCs w:val="21"/>
        </w:rPr>
      </w:pPr>
      <w:r>
        <w:rPr>
          <w:rFonts w:hint="eastAsia" w:ascii="仿宋" w:hAnsi="仿宋" w:eastAsia="仿宋" w:cs="仿宋"/>
          <w:szCs w:val="21"/>
        </w:rPr>
        <w:t>1.本项目投标报价是履行合同的最终价格，供应商的报价是供应商响应报价项目要求的全部工作内容的价格体现，包括货物设计、材料、制造、包装、运输、安装、调试、知识产权、检测、验收合格交付使用之前及保修期内保修服务与备用物件等等所有其他有关各项的含税费用。本项目在执行期间单价不变，如出现在报价估算错误等引起的损失由供应商自行承担。</w:t>
      </w:r>
    </w:p>
    <w:p>
      <w:pPr>
        <w:spacing w:line="360" w:lineRule="auto"/>
        <w:ind w:firstLine="420" w:firstLineChars="200"/>
        <w:rPr>
          <w:rFonts w:ascii="仿宋" w:hAnsi="仿宋" w:eastAsia="仿宋" w:cs="仿宋"/>
          <w:szCs w:val="21"/>
        </w:rPr>
      </w:pPr>
      <w:r>
        <w:rPr>
          <w:rFonts w:hint="eastAsia" w:ascii="仿宋" w:hAnsi="仿宋" w:eastAsia="仿宋" w:cs="仿宋"/>
          <w:szCs w:val="21"/>
        </w:rPr>
        <w:t>（五）履约保证金</w:t>
      </w:r>
    </w:p>
    <w:p>
      <w:pPr>
        <w:spacing w:line="360" w:lineRule="auto"/>
        <w:ind w:firstLine="420" w:firstLineChars="200"/>
        <w:rPr>
          <w:rFonts w:ascii="仿宋" w:hAnsi="仿宋" w:eastAsia="仿宋" w:cs="仿宋"/>
          <w:szCs w:val="21"/>
        </w:rPr>
      </w:pPr>
      <w:r>
        <w:rPr>
          <w:rFonts w:hint="eastAsia" w:ascii="仿宋" w:hAnsi="仿宋" w:eastAsia="仿宋" w:cs="仿宋"/>
          <w:szCs w:val="21"/>
          <w:lang w:val="zh-CN"/>
        </w:rPr>
        <w:t>合同总金额的</w:t>
      </w:r>
      <w:r>
        <w:rPr>
          <w:rFonts w:hint="eastAsia" w:ascii="仿宋" w:hAnsi="仿宋" w:eastAsia="仿宋" w:cs="仿宋"/>
          <w:szCs w:val="21"/>
        </w:rPr>
        <w:t>5</w:t>
      </w:r>
      <w:r>
        <w:rPr>
          <w:rFonts w:hint="eastAsia" w:ascii="仿宋" w:hAnsi="仿宋" w:eastAsia="仿宋" w:cs="仿宋"/>
          <w:szCs w:val="21"/>
          <w:lang w:val="zh-CN"/>
        </w:rPr>
        <w:t>%</w:t>
      </w:r>
      <w:r>
        <w:rPr>
          <w:rFonts w:hint="eastAsia" w:ascii="仿宋" w:hAnsi="仿宋" w:eastAsia="仿宋" w:cs="仿宋"/>
          <w:szCs w:val="21"/>
        </w:rPr>
        <w:t>。</w:t>
      </w:r>
    </w:p>
    <w:p>
      <w:pPr>
        <w:spacing w:line="360" w:lineRule="auto"/>
        <w:ind w:firstLine="420" w:firstLineChars="200"/>
        <w:rPr>
          <w:rFonts w:ascii="仿宋" w:hAnsi="仿宋" w:eastAsia="仿宋" w:cs="仿宋"/>
          <w:szCs w:val="21"/>
        </w:rPr>
      </w:pPr>
      <w:r>
        <w:rPr>
          <w:rFonts w:hint="eastAsia" w:ascii="仿宋" w:hAnsi="仿宋" w:eastAsia="仿宋" w:cs="仿宋"/>
          <w:szCs w:val="21"/>
        </w:rPr>
        <w:t>（六）验收方法和标准</w:t>
      </w:r>
    </w:p>
    <w:p>
      <w:pPr>
        <w:spacing w:line="360" w:lineRule="auto"/>
        <w:ind w:firstLine="420" w:firstLineChars="200"/>
        <w:rPr>
          <w:rFonts w:ascii="仿宋" w:hAnsi="仿宋" w:eastAsia="仿宋" w:cs="仿宋"/>
          <w:szCs w:val="21"/>
        </w:rPr>
      </w:pPr>
      <w:r>
        <w:rPr>
          <w:rFonts w:hint="eastAsia" w:ascii="仿宋" w:hAnsi="仿宋" w:eastAsia="仿宋" w:cs="仿宋"/>
          <w:szCs w:val="21"/>
        </w:rPr>
        <w:t>供应商在货物发放完成后通知采购人，采购人在接到通知后组织履约验收。</w:t>
      </w:r>
    </w:p>
    <w:p>
      <w:pPr>
        <w:spacing w:line="360" w:lineRule="auto"/>
        <w:ind w:firstLine="420" w:firstLineChars="200"/>
        <w:rPr>
          <w:rFonts w:ascii="仿宋" w:hAnsi="仿宋" w:eastAsia="仿宋" w:cs="仿宋"/>
          <w:szCs w:val="21"/>
        </w:rPr>
      </w:pPr>
      <w:r>
        <w:rPr>
          <w:rFonts w:hint="eastAsia" w:ascii="仿宋" w:hAnsi="仿宋" w:eastAsia="仿宋" w:cs="仿宋"/>
          <w:szCs w:val="21"/>
        </w:rPr>
        <w:t>验收标准:按国家有关规定以及采购文件的质量要求和技术指标、供应商的投标文件及承诺与本合同约定标准进行验收；采购人与供应商双方如对质量要求和技术指标的约定标准有相互抵触或异议的事项，由采购人在采购文件及投标文件中按质量要求和技术指标比较优胜的原则确定该项的约定标准进行验收。</w:t>
      </w:r>
    </w:p>
    <w:p>
      <w:pPr>
        <w:spacing w:line="360" w:lineRule="auto"/>
        <w:ind w:firstLine="420" w:firstLineChars="200"/>
        <w:rPr>
          <w:rFonts w:ascii="仿宋" w:hAnsi="仿宋" w:eastAsia="仿宋" w:cs="仿宋"/>
          <w:szCs w:val="21"/>
        </w:rPr>
      </w:pPr>
      <w:r>
        <w:rPr>
          <w:rFonts w:hint="eastAsia" w:ascii="仿宋" w:hAnsi="仿宋" w:eastAsia="仿宋" w:cs="仿宋"/>
          <w:szCs w:val="21"/>
        </w:rPr>
        <w:t>验收时如发现所交付的货物有短装、次品、损坏或其它不符合标准及本合同规定之情形者，采购人应做出详尽的现场记录，或由采购人与供应商双方签署备忘录，此现场记录或备忘录可用作补充、缺失和更换损坏部件的有效证据，由此产生的时间延误与有关费用由供应商承担，验收期限相应顺延。</w:t>
      </w:r>
    </w:p>
    <w:p>
      <w:pPr>
        <w:spacing w:line="360" w:lineRule="auto"/>
        <w:ind w:firstLine="420" w:firstLineChars="200"/>
        <w:rPr>
          <w:rFonts w:ascii="仿宋" w:hAnsi="仿宋" w:eastAsia="仿宋" w:cs="仿宋"/>
          <w:szCs w:val="21"/>
        </w:rPr>
      </w:pPr>
      <w:r>
        <w:rPr>
          <w:rFonts w:hint="eastAsia" w:ascii="仿宋" w:hAnsi="仿宋" w:eastAsia="仿宋" w:cs="仿宋"/>
          <w:szCs w:val="21"/>
        </w:rPr>
        <w:t>其他未尽事宜应严格按照《财政部关于进一步加强政府采购需求和履约验收管理的指导意见》(财库〔2016〕205 号)的要求进行验收。</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（七）项目资金支付</w:t>
      </w:r>
    </w:p>
    <w:p>
      <w:pPr>
        <w:spacing w:line="360" w:lineRule="auto"/>
        <w:ind w:firstLine="420" w:firstLineChars="200"/>
        <w:rPr>
          <w:rFonts w:ascii="仿宋" w:hAnsi="仿宋" w:eastAsia="仿宋" w:cs="仿宋"/>
          <w:szCs w:val="21"/>
        </w:rPr>
      </w:pPr>
      <w:r>
        <w:rPr>
          <w:rFonts w:hint="eastAsia" w:ascii="仿宋" w:hAnsi="仿宋" w:eastAsia="仿宋" w:cs="仿宋"/>
          <w:szCs w:val="21"/>
        </w:rPr>
        <w:t>本项目合同款项由采购人履约验收合格后，成交供应商向采购人交付相关完整票据,由采购人按照财务报账程序支付100%货款给成交供应商。</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（八）包装和运输</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1.成交供应商须严格按照《商品包装政府采购需求标准(试行)》、《快递包装政府采购需求标准(试行)》(财办库〔2020〕123号)的要求进行产品及相关快递服务的包装。 </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2.供应商应当按照约定的方式交付标的物。对于包装方式没有约定或者约定不明确的，应当按照通用的方式包装；没有通用方式的，应当采取足以保护标的物且有利于节约资源，保护生态环境的包装方式。 </w:t>
      </w:r>
    </w:p>
    <w:p>
      <w:pPr>
        <w:spacing w:line="360" w:lineRule="auto"/>
        <w:ind w:firstLine="420" w:firstLineChars="200"/>
        <w:rPr>
          <w:rFonts w:ascii="仿宋" w:hAnsi="仿宋" w:eastAsia="仿宋" w:cs="仿宋"/>
          <w:szCs w:val="21"/>
        </w:rPr>
      </w:pPr>
      <w:r>
        <w:rPr>
          <w:rFonts w:hint="eastAsia" w:ascii="仿宋" w:hAnsi="仿宋" w:eastAsia="仿宋" w:cs="仿宋"/>
          <w:szCs w:val="21"/>
        </w:rPr>
        <w:t>3.本次采购的标的物需要运输，供应商在合同约定的时间内将标的物运输至合同约定地点。</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（九）争议的解决</w:t>
      </w:r>
    </w:p>
    <w:p>
      <w:pPr>
        <w:spacing w:line="360" w:lineRule="auto"/>
        <w:ind w:firstLine="420" w:firstLineChars="200"/>
        <w:rPr>
          <w:rFonts w:ascii="仿宋" w:hAnsi="仿宋" w:eastAsia="仿宋" w:cs="仿宋"/>
          <w:szCs w:val="21"/>
        </w:rPr>
      </w:pPr>
      <w:r>
        <w:rPr>
          <w:rFonts w:hint="eastAsia" w:ascii="仿宋" w:hAnsi="仿宋" w:eastAsia="仿宋" w:cs="仿宋"/>
          <w:szCs w:val="21"/>
        </w:rPr>
        <w:t>在采购合同履约过程中发生的或与本合同有关的争端，供应商与甲方应通过友好协商解决，协商不成的，由当事人依法维护其合法权益，向项目所在地人民法院提起诉讼。</w:t>
      </w:r>
    </w:p>
    <w:p>
      <w:pPr>
        <w:spacing w:line="360" w:lineRule="auto"/>
        <w:ind w:firstLine="420" w:firstLineChars="200"/>
        <w:rPr>
          <w:rFonts w:ascii="仿宋" w:hAnsi="仿宋" w:eastAsia="仿宋" w:cs="仿宋"/>
          <w:szCs w:val="21"/>
        </w:rPr>
      </w:pP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四、其他要求</w:t>
      </w:r>
    </w:p>
    <w:p>
      <w:pPr>
        <w:spacing w:line="360" w:lineRule="auto"/>
        <w:ind w:firstLine="420" w:firstLineChars="200"/>
        <w:rPr>
          <w:rFonts w:ascii="仿宋" w:hAnsi="仿宋" w:eastAsia="仿宋" w:cs="仿宋"/>
          <w:szCs w:val="21"/>
        </w:rPr>
      </w:pPr>
      <w:r>
        <w:rPr>
          <w:rFonts w:hint="eastAsia" w:ascii="仿宋" w:hAnsi="仿宋" w:eastAsia="仿宋" w:cs="仿宋"/>
          <w:szCs w:val="21"/>
        </w:rPr>
        <w:t>1.成交供应商须及时向采购人通告本项目有关重大事项及其工作进度。</w:t>
      </w:r>
    </w:p>
    <w:p>
      <w:pPr>
        <w:spacing w:line="360" w:lineRule="auto"/>
        <w:ind w:firstLine="420" w:firstLineChars="200"/>
        <w:rPr>
          <w:rFonts w:ascii="仿宋" w:hAnsi="仿宋" w:eastAsia="仿宋" w:cs="仿宋"/>
          <w:szCs w:val="21"/>
        </w:rPr>
      </w:pPr>
      <w:r>
        <w:rPr>
          <w:rFonts w:hint="eastAsia" w:ascii="仿宋" w:hAnsi="仿宋" w:eastAsia="仿宋" w:cs="仿宋"/>
          <w:szCs w:val="21"/>
        </w:rPr>
        <w:t>2.成交供应商需接受项目行业管理部门及政府有关部门的指导，接受采购人的监督。</w:t>
      </w:r>
    </w:p>
    <w:p>
      <w:pPr>
        <w:spacing w:line="360" w:lineRule="auto"/>
        <w:ind w:firstLine="420" w:firstLineChars="200"/>
        <w:rPr>
          <w:rFonts w:ascii="仿宋" w:hAnsi="仿宋" w:eastAsia="仿宋" w:cs="仿宋"/>
          <w:szCs w:val="21"/>
        </w:rPr>
      </w:pPr>
      <w:r>
        <w:rPr>
          <w:rFonts w:hint="eastAsia" w:ascii="仿宋" w:hAnsi="仿宋" w:eastAsia="仿宋" w:cs="仿宋"/>
          <w:szCs w:val="21"/>
        </w:rPr>
        <w:t>3.如因成交供应商在项目实施过程中的疏忽、失职、过错等故意或者过失原因给采购人造成损失或侵害，包括但不限于采购人本身的财产损失，由此而导致的采购人对任何第三方的法律责任等，成交供应商对此均应承担全部的责任。</w:t>
      </w:r>
    </w:p>
    <w:p>
      <w:pPr>
        <w:spacing w:line="360" w:lineRule="auto"/>
        <w:ind w:firstLine="420" w:firstLineChars="200"/>
        <w:rPr>
          <w:rFonts w:ascii="仿宋" w:hAnsi="仿宋" w:eastAsia="仿宋" w:cs="仿宋"/>
          <w:szCs w:val="21"/>
        </w:rPr>
      </w:pPr>
      <w:r>
        <w:rPr>
          <w:rFonts w:hint="eastAsia" w:ascii="仿宋" w:hAnsi="仿宋" w:eastAsia="仿宋" w:cs="仿宋"/>
          <w:szCs w:val="21"/>
        </w:rPr>
        <w:t>4.★供应商应保证所提供的服务或其任何一部分均不会侵犯任何第三方的专利权、商标权或著作权(在响应文件中提供承诺函，格式自拟)。</w:t>
      </w:r>
    </w:p>
    <w:p>
      <w:pPr>
        <w:spacing w:line="360" w:lineRule="auto"/>
        <w:ind w:firstLine="420" w:firstLineChars="200"/>
        <w:rPr>
          <w:rFonts w:ascii="仿宋" w:hAnsi="仿宋" w:eastAsia="仿宋" w:cs="仿宋"/>
          <w:szCs w:val="21"/>
        </w:rPr>
      </w:pPr>
      <w:r>
        <w:rPr>
          <w:rFonts w:hint="eastAsia" w:ascii="仿宋" w:hAnsi="仿宋" w:eastAsia="仿宋" w:cs="仿宋"/>
          <w:szCs w:val="21"/>
        </w:rPr>
        <w:t>5.★供应商对响应文件中提供的检测报告复印件盖鲜章,并作真实性作出承诺。（提供承诺函）</w:t>
      </w:r>
    </w:p>
    <w:p>
      <w:pPr>
        <w:spacing w:line="360" w:lineRule="auto"/>
        <w:ind w:firstLine="420" w:firstLineChars="200"/>
        <w:rPr>
          <w:rFonts w:ascii="仿宋" w:hAnsi="仿宋" w:eastAsia="仿宋" w:cs="仿宋"/>
          <w:szCs w:val="21"/>
        </w:rPr>
      </w:pPr>
      <w:r>
        <w:rPr>
          <w:rFonts w:hint="eastAsia" w:ascii="仿宋" w:hAnsi="仿宋" w:eastAsia="仿宋" w:cs="仿宋"/>
          <w:szCs w:val="21"/>
        </w:rPr>
        <w:t>6.★中标供应商签署合同时检验报告原件，采购人有权核查供应商响应文件中提供的检测报告真假。如为虚假检测报告，采购人向同级财政部门报告，按政府采购法和相关法律法规处理。（提供承诺函）</w:t>
      </w:r>
    </w:p>
    <w:p>
      <w:pPr>
        <w:spacing w:line="360" w:lineRule="auto"/>
        <w:ind w:firstLine="420" w:firstLineChars="200"/>
        <w:rPr>
          <w:rFonts w:ascii="仿宋" w:hAnsi="仿宋" w:eastAsia="仿宋" w:cs="仿宋"/>
          <w:szCs w:val="21"/>
        </w:rPr>
      </w:pPr>
      <w:r>
        <w:rPr>
          <w:rFonts w:hint="eastAsia" w:ascii="仿宋" w:hAnsi="仿宋" w:eastAsia="仿宋" w:cs="仿宋"/>
          <w:szCs w:val="21"/>
        </w:rPr>
        <w:t xml:space="preserve"> </w:t>
      </w:r>
    </w:p>
    <w:p>
      <w:pPr>
        <w:spacing w:line="360" w:lineRule="auto"/>
        <w:ind w:firstLine="420" w:firstLineChars="200"/>
        <w:rPr>
          <w:rFonts w:ascii="仿宋" w:hAnsi="仿宋" w:eastAsia="仿宋" w:cs="仿宋"/>
          <w:szCs w:val="21"/>
        </w:rPr>
      </w:pPr>
      <w:r>
        <w:rPr>
          <w:rFonts w:hint="eastAsia" w:ascii="仿宋" w:hAnsi="仿宋" w:eastAsia="仿宋" w:cs="仿宋"/>
          <w:szCs w:val="21"/>
        </w:rPr>
        <w:t>注：①带“★”项参数及条款为实质性要求，如有负偏离或未提供的作为无效响应处理。本章要求提供证明材料的均为在投标时提供证明材料；须按要求在响应文件中提供证明材料并加盖公章。</w:t>
      </w:r>
    </w:p>
    <w:p>
      <w:pPr>
        <w:spacing w:line="360" w:lineRule="auto"/>
        <w:ind w:firstLine="420" w:firstLineChars="200"/>
        <w:rPr>
          <w:rFonts w:ascii="仿宋" w:hAnsi="仿宋" w:eastAsia="仿宋" w:cs="仿宋"/>
          <w:szCs w:val="21"/>
        </w:rPr>
      </w:pPr>
      <w:r>
        <w:rPr>
          <w:rFonts w:hint="eastAsia" w:ascii="仿宋" w:hAnsi="仿宋" w:eastAsia="仿宋" w:cs="仿宋"/>
          <w:szCs w:val="21"/>
        </w:rPr>
        <w:t>②根据财政部、发展改革委、生态环境部、市场监管总局联合发布《关于调整优化节能产品、环境标志产品政府采购执行机制的通知》(财库〔2019〕9 号)，对政府采购节能产品、环境标志产品实施品目清单管理，本项目如涉及强制采购的，投标人在投标时须按照 《通知》要求提供国家确定的认证机构出具的，处于有效期之内的节能产品、环境标志产品认证证书和提供该产品所在品目清单页截图，否则其响应文件将被视为无效投标处理。</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jU3MDliZjhkMDNjMjRmM2Y1NDkwNTIyOTJhOTU4NWIifQ=="/>
  </w:docVars>
  <w:rsids>
    <w:rsidRoot w:val="00000000"/>
    <w:rsid w:val="506B401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Body Text"/>
    <w:basedOn w:val="1"/>
    <w:uiPriority w:val="0"/>
    <w:pPr>
      <w:spacing w:after="120"/>
    </w:pPr>
  </w:style>
  <w:style w:type="paragraph" w:customStyle="1" w:styleId="5">
    <w:name w:val="Table Text"/>
    <w:basedOn w:val="1"/>
    <w:semiHidden/>
    <w:qFormat/>
    <w:uiPriority w:val="0"/>
    <w:rPr>
      <w:rFonts w:ascii="仿宋" w:hAnsi="仿宋" w:eastAsia="仿宋" w:cs="仿宋"/>
      <w:sz w:val="28"/>
      <w:szCs w:val="28"/>
      <w:lang w:val="en-US" w:eastAsia="en-US" w:bidi="ar-SA"/>
    </w:rPr>
  </w:style>
  <w:style w:type="table" w:customStyle="1" w:styleId="6">
    <w:name w:val="Table Normal"/>
    <w:unhideWhenUsed/>
    <w:qFormat/>
    <w:uiPriority w:val="0"/>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WPS">
  <a:themeElements>
    <a:clrScheme name="WPS">
      <a:dk1>
        <a:sysClr val="windowText" lastClr="000000"/>
      </a:dk1>
      <a:lt1>
        <a:sysClr val="window" lastClr="FFFFFF"/>
      </a:lt1>
      <a:dk2>
        <a:srgbClr val="44546A"/>
      </a:dk2>
      <a:lt2>
        <a:srgbClr val="E7E6E6"/>
      </a:lt2>
      <a:accent1>
        <a:srgbClr val="4874CB"/>
      </a:accent1>
      <a:accent2>
        <a:srgbClr val="EE822F"/>
      </a:accent2>
      <a:accent3>
        <a:srgbClr val="F2BA02"/>
      </a:accent3>
      <a:accent4>
        <a:srgbClr val="75BD42"/>
      </a:accent4>
      <a:accent5>
        <a:srgbClr val="30C0B4"/>
      </a:accent5>
      <a:accent6>
        <a:srgbClr val="E54C5E"/>
      </a:accent6>
      <a:hlink>
        <a:srgbClr val="0026E5"/>
      </a:hlink>
      <a:folHlink>
        <a:srgbClr val="7E1FAD"/>
      </a:folHlink>
    </a:clrScheme>
    <a:fontScheme name="WPS">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WPS">
      <a:fillStyleLst>
        <a:solidFill>
          <a:schemeClr val="phClr"/>
        </a:solidFill>
        <a:gradFill>
          <a:gsLst>
            <a:gs pos="0">
              <a:schemeClr val="phClr">
                <a:lumOff val="17500"/>
              </a:schemeClr>
            </a:gs>
            <a:gs pos="100000">
              <a:schemeClr val="phClr"/>
            </a:gs>
          </a:gsLst>
          <a:lin ang="2700000" scaled="0"/>
        </a:gradFill>
        <a:gradFill>
          <a:gsLst>
            <a:gs pos="0">
              <a:schemeClr val="phClr">
                <a:hueOff val="-2520000"/>
              </a:schemeClr>
            </a:gs>
            <a:gs pos="100000">
              <a:schemeClr val="phClr"/>
            </a:gs>
          </a:gsLst>
          <a:lin ang="2700000" scaled="0"/>
        </a:gradFill>
      </a:fillStyleLst>
      <a:lnStyleLst>
        <a:ln w="12700" cap="flat" cmpd="sng" algn="ctr">
          <a:solidFill>
            <a:schemeClr val="phClr"/>
          </a:solidFill>
          <a:prstDash val="solid"/>
          <a:miter lim="800000"/>
        </a:ln>
        <a:ln w="12700" cap="flat" cmpd="sng" algn="ctr">
          <a:solidFill>
            <a:schemeClr val="phClr"/>
          </a:solidFill>
          <a:prstDash val="solid"/>
          <a:miter lim="800000"/>
        </a:ln>
        <a:ln w="12700" cap="flat" cmpd="sng" algn="ctr">
          <a:gradFill>
            <a:gsLst>
              <a:gs pos="0">
                <a:schemeClr val="phClr">
                  <a:hueOff val="-4200000"/>
                </a:schemeClr>
              </a:gs>
              <a:gs pos="100000">
                <a:schemeClr val="phClr"/>
              </a:gs>
            </a:gsLst>
            <a:lin ang="2700000" scaled="1"/>
          </a:gradFill>
          <a:prstDash val="solid"/>
          <a:miter lim="800000"/>
        </a:ln>
      </a:lnStyleLst>
      <a:effectStyleLst>
        <a:effectStyle>
          <a:effectLst>
            <a:outerShdw blurRad="101600" dist="50800" dir="5400000" algn="ctr" rotWithShape="0">
              <a:schemeClr val="phClr">
                <a:alpha val="60000"/>
              </a:schemeClr>
            </a:outerShdw>
          </a:effectLst>
        </a:effectStyle>
        <a:effectStyle>
          <a:effectLst>
            <a:reflection stA="50000" endA="300" endPos="40000" dist="25400" dir="5400000" sy="-100000" algn="bl" rotWithShape="0"/>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2024-01-22T06:28:56Z</dcterms:created>
  <dc:creator>Administrator</dc:creator>
  <cp:lastModifiedBy>燕子</cp:lastModifiedBy>
  <dcterms:modified xsi:type="dcterms:W3CDTF">2024-01-22T06:29:19Z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F6EBD600262742EF9EAB3D8E06A79AC9_12</vt:lpwstr>
  </property>
</Properties>
</file>