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bookmarkStart w:id="0" w:name="_GoBack"/>
      <w:bookmarkEnd w:id="0"/>
    </w:p>
    <w:p>
      <w:pPr>
        <w:pStyle w:val="4"/>
      </w:pPr>
      <w:r>
        <w:t xml:space="preserve"> 采购包1：资阳市第一人民医院拟对血透信息化管理智能系统维保服务进行采购。为保证系统维保服务的安全运转，系统、硬件故障及软件升级、功能优化等需求能得到及时处理，保障业务工作开展，医院拟通过公开招标的方式为以下软件项目购买维保服务，本次一次性购买三年服务。 采购包2：资阳市第一人民医院拟对hrp系统维保服务进行采购。为保证服务的安全运转，系统故障及软件升级、功能优化等需求能得到及时处理，保障业务工作开展，医院拟通过公开招标的方式为以下软件项目购买维保服务，本次一次性购买三年服务。 采购包3：资阳市第一人民医院拟对智能采血系统维保服务进行采购。为保证智能采血系统维保服务的安全运转，系统故障及软件升级、功能优化等需求能得到及时处理，保障业务工作开展，医院拟通过公开招标的方式为以下软件项目购买维保服务，本次一次性购买三年服务。 采购包4：资阳市第一人民医院拟对重症临床信息系统维保服务进行采购。为保证重症临床信息系统维保服务的安全运转，系统故障及软件升级、功能优化等需求能得到及时处理，保障业务工作开展，医院拟通过公开招标的方式为以下软件项目购买维保服务，本次一次性购买三年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220,000.00</w:t>
      </w:r>
    </w:p>
    <w:p>
      <w:pPr>
        <w:pStyle w:val="4"/>
      </w:pPr>
      <w:r>
        <w:t>采购包最高限价（元）: 220,000.00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血液透析管理信息系统</w:t>
            </w:r>
          </w:p>
        </w:tc>
        <w:tc>
          <w:tcPr>
            <w:tcW w:w="848" w:type="dxa"/>
          </w:tcPr>
          <w:p>
            <w:pPr>
              <w:pStyle w:val="4"/>
              <w:jc w:val="right"/>
            </w:pPr>
            <w:r>
              <w:t>1.00</w:t>
            </w:r>
          </w:p>
        </w:tc>
        <w:tc>
          <w:tcPr>
            <w:tcW w:w="1356" w:type="dxa"/>
          </w:tcPr>
          <w:p>
            <w:pPr>
              <w:pStyle w:val="4"/>
              <w:jc w:val="right"/>
            </w:pPr>
            <w:r>
              <w:t>220,000.00</w:t>
            </w:r>
          </w:p>
        </w:tc>
        <w:tc>
          <w:tcPr>
            <w:tcW w:w="678" w:type="dxa"/>
          </w:tcPr>
          <w:p>
            <w:pPr>
              <w:pStyle w:val="4"/>
            </w:pPr>
            <w:r>
              <w:t>批</w:t>
            </w:r>
          </w:p>
        </w:tc>
        <w:tc>
          <w:tcPr>
            <w:tcW w:w="678" w:type="dxa"/>
          </w:tcPr>
          <w:p>
            <w:pPr>
              <w:pStyle w:val="4"/>
            </w:pPr>
            <w:r>
              <w:t>软件和信息技术服务业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采购包2：</w:t>
      </w:r>
    </w:p>
    <w:p>
      <w:pPr>
        <w:pStyle w:val="4"/>
      </w:pPr>
      <w:r>
        <w:t>采购包预算金额（元）: 200,000.00</w:t>
      </w:r>
    </w:p>
    <w:p>
      <w:pPr>
        <w:pStyle w:val="4"/>
      </w:pPr>
      <w:r>
        <w:t>采购包最高限价（元）: 200,000.00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HRP软件</w:t>
            </w:r>
          </w:p>
        </w:tc>
        <w:tc>
          <w:tcPr>
            <w:tcW w:w="848" w:type="dxa"/>
          </w:tcPr>
          <w:p>
            <w:pPr>
              <w:pStyle w:val="4"/>
              <w:jc w:val="right"/>
            </w:pPr>
            <w:r>
              <w:t>1.00</w:t>
            </w:r>
          </w:p>
        </w:tc>
        <w:tc>
          <w:tcPr>
            <w:tcW w:w="1356" w:type="dxa"/>
          </w:tcPr>
          <w:p>
            <w:pPr>
              <w:pStyle w:val="4"/>
              <w:jc w:val="right"/>
            </w:pPr>
            <w:r>
              <w:t>200,000.00</w:t>
            </w:r>
          </w:p>
        </w:tc>
        <w:tc>
          <w:tcPr>
            <w:tcW w:w="678" w:type="dxa"/>
          </w:tcPr>
          <w:p>
            <w:pPr>
              <w:pStyle w:val="4"/>
            </w:pPr>
            <w:r>
              <w:t>批</w:t>
            </w:r>
          </w:p>
        </w:tc>
        <w:tc>
          <w:tcPr>
            <w:tcW w:w="678" w:type="dxa"/>
          </w:tcPr>
          <w:p>
            <w:pPr>
              <w:pStyle w:val="4"/>
            </w:pPr>
            <w:r>
              <w:t>软件和信息技术服务业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采购包3：</w:t>
      </w:r>
    </w:p>
    <w:p>
      <w:pPr>
        <w:pStyle w:val="4"/>
      </w:pPr>
      <w:r>
        <w:t>采购包预算金额（元）: 142,500.00</w:t>
      </w:r>
    </w:p>
    <w:p>
      <w:pPr>
        <w:pStyle w:val="4"/>
      </w:pPr>
      <w:r>
        <w:t>采购包最高限价（元）: 142,500.00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智能采血系统</w:t>
            </w:r>
          </w:p>
        </w:tc>
        <w:tc>
          <w:tcPr>
            <w:tcW w:w="848" w:type="dxa"/>
          </w:tcPr>
          <w:p>
            <w:pPr>
              <w:pStyle w:val="4"/>
              <w:jc w:val="right"/>
            </w:pPr>
            <w:r>
              <w:t>1.00</w:t>
            </w:r>
          </w:p>
        </w:tc>
        <w:tc>
          <w:tcPr>
            <w:tcW w:w="1356" w:type="dxa"/>
          </w:tcPr>
          <w:p>
            <w:pPr>
              <w:pStyle w:val="4"/>
              <w:jc w:val="right"/>
            </w:pPr>
            <w:r>
              <w:t>142,500.00</w:t>
            </w:r>
          </w:p>
        </w:tc>
        <w:tc>
          <w:tcPr>
            <w:tcW w:w="678" w:type="dxa"/>
          </w:tcPr>
          <w:p>
            <w:pPr>
              <w:pStyle w:val="4"/>
            </w:pPr>
            <w:r>
              <w:t>批</w:t>
            </w:r>
          </w:p>
        </w:tc>
        <w:tc>
          <w:tcPr>
            <w:tcW w:w="678" w:type="dxa"/>
          </w:tcPr>
          <w:p>
            <w:pPr>
              <w:pStyle w:val="4"/>
            </w:pPr>
            <w:r>
              <w:t>软件和信息技术服务业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采购包4：</w:t>
      </w:r>
    </w:p>
    <w:p>
      <w:pPr>
        <w:pStyle w:val="4"/>
      </w:pPr>
      <w:r>
        <w:t>采购包预算金额（元）: 144,000.00</w:t>
      </w:r>
    </w:p>
    <w:p>
      <w:pPr>
        <w:pStyle w:val="4"/>
      </w:pPr>
      <w:r>
        <w:t>采购包最高限价（元）: 144,000.00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重症临床信息系统</w:t>
            </w:r>
          </w:p>
        </w:tc>
        <w:tc>
          <w:tcPr>
            <w:tcW w:w="848" w:type="dxa"/>
          </w:tcPr>
          <w:p>
            <w:pPr>
              <w:pStyle w:val="4"/>
              <w:jc w:val="right"/>
            </w:pPr>
            <w:r>
              <w:t>1.00</w:t>
            </w:r>
          </w:p>
        </w:tc>
        <w:tc>
          <w:tcPr>
            <w:tcW w:w="1356" w:type="dxa"/>
          </w:tcPr>
          <w:p>
            <w:pPr>
              <w:pStyle w:val="4"/>
              <w:jc w:val="right"/>
            </w:pPr>
            <w:r>
              <w:t>144,000.00</w:t>
            </w:r>
          </w:p>
        </w:tc>
        <w:tc>
          <w:tcPr>
            <w:tcW w:w="678" w:type="dxa"/>
          </w:tcPr>
          <w:p>
            <w:pPr>
              <w:pStyle w:val="4"/>
            </w:pPr>
            <w:r>
              <w:t>批</w:t>
            </w:r>
          </w:p>
        </w:tc>
        <w:tc>
          <w:tcPr>
            <w:tcW w:w="678" w:type="dxa"/>
          </w:tcPr>
          <w:p>
            <w:pPr>
              <w:pStyle w:val="4"/>
            </w:pPr>
            <w:r>
              <w:t>软件和信息技术服务业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标的名称：血液透析管理信息系统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2"/>
        <w:gridCol w:w="1013"/>
        <w:gridCol w:w="64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40"/>
              <w:jc w:val="both"/>
            </w:pPr>
            <w:r>
              <w:rPr>
                <w:rFonts w:ascii="宋体" w:hAnsi="宋体" w:eastAsia="宋体" w:cs="宋体"/>
                <w:sz w:val="22"/>
              </w:rPr>
              <w:t>1、需要维保的软件：</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30"/>
              <w:gridCol w:w="628"/>
              <w:gridCol w:w="1310"/>
              <w:gridCol w:w="430"/>
              <w:gridCol w:w="6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2"/>
                    </w:rPr>
                    <w:t>序号</w:t>
                  </w:r>
                </w:p>
              </w:tc>
              <w:tc>
                <w:tcPr>
                  <w:tcW w:w="62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2"/>
                    </w:rPr>
                    <w:t>名称</w:t>
                  </w:r>
                </w:p>
              </w:tc>
              <w:tc>
                <w:tcPr>
                  <w:tcW w:w="98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2"/>
                    </w:rPr>
                    <w:t>品牌</w:t>
                  </w:r>
                </w:p>
              </w:tc>
              <w:tc>
                <w:tcPr>
                  <w:tcW w:w="2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2"/>
                    </w:rPr>
                    <w:t>数量</w:t>
                  </w:r>
                </w:p>
              </w:tc>
              <w:tc>
                <w:tcPr>
                  <w:tcW w:w="45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2"/>
                    </w:rPr>
                    <w:t>承建商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2"/>
                    </w:rPr>
                    <w:t>1</w:t>
                  </w:r>
                </w:p>
              </w:tc>
              <w:tc>
                <w:tcPr>
                  <w:tcW w:w="6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2"/>
                    </w:rPr>
                    <w:t>血液透析管理信息系统</w:t>
                  </w:r>
                </w:p>
              </w:tc>
              <w:tc>
                <w:tcPr>
                  <w:tcW w:w="9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ind w:firstLine="880"/>
                    <w:jc w:val="both"/>
                  </w:pPr>
                  <w:r>
                    <w:rPr>
                      <w:rFonts w:ascii="宋体" w:hAnsi="宋体" w:eastAsia="宋体" w:cs="宋体"/>
                      <w:sz w:val="22"/>
                    </w:rPr>
                    <w:t>学透通XTT-HDIS</w:t>
                  </w:r>
                </w:p>
              </w:tc>
              <w:tc>
                <w:tcPr>
                  <w:tcW w:w="2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2"/>
                    </w:rPr>
                    <w:t>1套</w:t>
                  </w:r>
                </w:p>
              </w:tc>
              <w:tc>
                <w:tcPr>
                  <w:tcW w:w="4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2"/>
                    </w:rPr>
                    <w:t>学透通医疗科技（上海）有限公司</w:t>
                  </w:r>
                </w:p>
              </w:tc>
            </w:tr>
          </w:tbl>
          <w:p>
            <w:pPr>
              <w:pStyle w:val="4"/>
              <w:ind w:firstLine="660"/>
              <w:jc w:val="both"/>
            </w:pPr>
            <w:r>
              <w:rPr>
                <w:rFonts w:ascii="宋体" w:hAnsi="宋体" w:eastAsia="宋体" w:cs="宋体"/>
                <w:sz w:val="22"/>
              </w:rPr>
              <w:t>2、需要维保的硬件：</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3"/>
              <w:gridCol w:w="933"/>
              <w:gridCol w:w="3090"/>
              <w:gridCol w:w="570"/>
              <w:gridCol w:w="8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序号</w:t>
                  </w:r>
                </w:p>
              </w:tc>
              <w:tc>
                <w:tcPr>
                  <w:tcW w:w="6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设备名称</w:t>
                  </w:r>
                </w:p>
              </w:tc>
              <w:tc>
                <w:tcPr>
                  <w:tcW w:w="99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品牌型号</w:t>
                  </w:r>
                </w:p>
              </w:tc>
              <w:tc>
                <w:tcPr>
                  <w:tcW w:w="25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数量</w:t>
                  </w:r>
                </w:p>
              </w:tc>
              <w:tc>
                <w:tcPr>
                  <w:tcW w:w="45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承建商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1</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二维码扫描设备</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霍尼韦尔MK7580</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4台</w:t>
                  </w:r>
                </w:p>
              </w:tc>
              <w:tc>
                <w:tcPr>
                  <w:tcW w:w="452"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学透通医疗科技（上海）有限公司</w:t>
                  </w:r>
                </w:p>
                <w:p>
                  <w:pPr>
                    <w:pStyle w:val="4"/>
                    <w:ind w:firstLine="4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2</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条码打印机</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斑马GK888T</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1台</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3</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电子轮椅秤</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耀华XK3190-A27+E</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2台</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4</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电子血压计</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欧姆龙HBP-9020</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2台</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5</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移动工作站</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60"/>
                    <w:jc w:val="left"/>
                  </w:pPr>
                  <w:r>
                    <w:rPr>
                      <w:rFonts w:ascii="仿宋" w:hAnsi="仿宋" w:eastAsia="仿宋" w:cs="仿宋"/>
                      <w:sz w:val="24"/>
                    </w:rPr>
                    <w:t>华为M6-SCM-W09</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19套</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6</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网络显示设备</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长虹55D7P (55D2060GC)</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1台</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7</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工作站</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联想A710</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4套</w:t>
                  </w:r>
                </w:p>
              </w:tc>
              <w:tc>
                <w:tcPr>
                  <w:tcW w:w="452" w:type="dxa"/>
                  <w:vMerge w:val="continue"/>
                  <w:tcBorders>
                    <w:top w:val="nil"/>
                    <w:left w:val="nil"/>
                    <w:bottom w:val="nil"/>
                    <w:right w:val="single" w:color="000000" w:sz="4" w:space="0"/>
                  </w:tcBorders>
                </w:tcPr>
                <w:p/>
              </w:tc>
            </w:tr>
            <w:tr>
              <w:tblPrEx>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8</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IC卡+挂绳+防水卡套</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学透通8.5*5.4、IC 卡正反印刷</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230套</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2"/>
                    <w:jc w:val="left"/>
                  </w:pPr>
                  <w:r>
                    <w:rPr>
                      <w:rFonts w:ascii="仿宋" w:hAnsi="仿宋" w:eastAsia="仿宋" w:cs="仿宋"/>
                      <w:b/>
                      <w:sz w:val="24"/>
                    </w:rPr>
                    <w:t>9</w:t>
                  </w:r>
                </w:p>
              </w:tc>
              <w:tc>
                <w:tcPr>
                  <w:tcW w:w="615"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4"/>
                    </w:rPr>
                    <w:t>通讯板卡</w:t>
                  </w:r>
                </w:p>
              </w:tc>
              <w:tc>
                <w:tcPr>
                  <w:tcW w:w="990"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费森</w:t>
                  </w:r>
                </w:p>
              </w:tc>
              <w:tc>
                <w:tcPr>
                  <w:tcW w:w="258"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18块</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10</w:t>
                  </w:r>
                </w:p>
              </w:tc>
              <w:tc>
                <w:tcPr>
                  <w:tcW w:w="615"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AC</w:t>
                  </w:r>
                  <w:r>
                    <w:rPr>
                      <w:rFonts w:ascii="宋体" w:hAnsi="宋体" w:eastAsia="宋体" w:cs="宋体"/>
                      <w:sz w:val="24"/>
                    </w:rPr>
                    <w:t>（无线控制器）</w:t>
                  </w:r>
                </w:p>
              </w:tc>
              <w:tc>
                <w:tcPr>
                  <w:tcW w:w="990"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锐捷</w:t>
                  </w:r>
                  <w:r>
                    <w:rPr>
                      <w:rFonts w:ascii="仿宋" w:hAnsi="仿宋" w:eastAsia="仿宋" w:cs="仿宋"/>
                      <w:sz w:val="24"/>
                    </w:rPr>
                    <w:t>RG-NBR6120-E</w:t>
                  </w:r>
                </w:p>
              </w:tc>
              <w:tc>
                <w:tcPr>
                  <w:tcW w:w="258"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1台</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11</w:t>
                  </w:r>
                </w:p>
              </w:tc>
              <w:tc>
                <w:tcPr>
                  <w:tcW w:w="615"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专用数据传输设备</w:t>
                  </w:r>
                </w:p>
              </w:tc>
              <w:tc>
                <w:tcPr>
                  <w:tcW w:w="990"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锐捷</w:t>
                  </w:r>
                  <w:r>
                    <w:rPr>
                      <w:rFonts w:ascii="仿宋" w:hAnsi="仿宋" w:eastAsia="仿宋" w:cs="仿宋"/>
                      <w:sz w:val="24"/>
                    </w:rPr>
                    <w:t>RG-NB1810GC-P</w:t>
                  </w:r>
                </w:p>
              </w:tc>
              <w:tc>
                <w:tcPr>
                  <w:tcW w:w="258"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2台</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12</w:t>
                  </w:r>
                </w:p>
              </w:tc>
              <w:tc>
                <w:tcPr>
                  <w:tcW w:w="615"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无线</w:t>
                  </w:r>
                  <w:r>
                    <w:rPr>
                      <w:rFonts w:ascii="仿宋" w:hAnsi="仿宋" w:eastAsia="仿宋" w:cs="仿宋"/>
                      <w:sz w:val="24"/>
                    </w:rPr>
                    <w:t>AP</w:t>
                  </w:r>
                </w:p>
              </w:tc>
              <w:tc>
                <w:tcPr>
                  <w:tcW w:w="990"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锐捷</w:t>
                  </w:r>
                  <w:r>
                    <w:rPr>
                      <w:rFonts w:ascii="仿宋" w:hAnsi="仿宋" w:eastAsia="仿宋" w:cs="仿宋"/>
                      <w:sz w:val="24"/>
                    </w:rPr>
                    <w:t>RG-RAP210(EV2)</w:t>
                  </w:r>
                </w:p>
              </w:tc>
              <w:tc>
                <w:tcPr>
                  <w:tcW w:w="258"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14台</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13</w:t>
                  </w:r>
                </w:p>
              </w:tc>
              <w:tc>
                <w:tcPr>
                  <w:tcW w:w="615"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血透室终端无线</w:t>
                  </w:r>
                  <w:r>
                    <w:rPr>
                      <w:rFonts w:ascii="仿宋" w:hAnsi="仿宋" w:eastAsia="仿宋" w:cs="仿宋"/>
                      <w:sz w:val="24"/>
                    </w:rPr>
                    <w:t>AP</w:t>
                  </w:r>
                  <w:r>
                    <w:rPr>
                      <w:rFonts w:ascii="宋体" w:hAnsi="宋体" w:eastAsia="宋体" w:cs="宋体"/>
                      <w:sz w:val="24"/>
                    </w:rPr>
                    <w:t>线路点位</w:t>
                  </w:r>
                </w:p>
              </w:tc>
              <w:tc>
                <w:tcPr>
                  <w:tcW w:w="990"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大唐</w:t>
                  </w:r>
                </w:p>
              </w:tc>
              <w:tc>
                <w:tcPr>
                  <w:tcW w:w="258"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14个</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14</w:t>
                  </w:r>
                </w:p>
              </w:tc>
              <w:tc>
                <w:tcPr>
                  <w:tcW w:w="615"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血透室终端无线</w:t>
                  </w:r>
                  <w:r>
                    <w:rPr>
                      <w:rFonts w:ascii="仿宋" w:hAnsi="仿宋" w:eastAsia="仿宋" w:cs="仿宋"/>
                      <w:sz w:val="24"/>
                    </w:rPr>
                    <w:t>AP</w:t>
                  </w:r>
                  <w:r>
                    <w:rPr>
                      <w:rFonts w:ascii="宋体" w:hAnsi="宋体" w:eastAsia="宋体" w:cs="宋体"/>
                      <w:sz w:val="24"/>
                    </w:rPr>
                    <w:t>线路内网接入点</w:t>
                  </w:r>
                </w:p>
              </w:tc>
              <w:tc>
                <w:tcPr>
                  <w:tcW w:w="990"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锐捷</w:t>
                  </w:r>
                  <w:r>
                    <w:rPr>
                      <w:rFonts w:ascii="仿宋" w:hAnsi="仿宋" w:eastAsia="仿宋" w:cs="仿宋"/>
                      <w:sz w:val="24"/>
                    </w:rPr>
                    <w:t>RG-EAP202</w:t>
                  </w:r>
                </w:p>
              </w:tc>
              <w:tc>
                <w:tcPr>
                  <w:tcW w:w="258"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1个</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15</w:t>
                  </w:r>
                </w:p>
              </w:tc>
              <w:tc>
                <w:tcPr>
                  <w:tcW w:w="615"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理线架</w:t>
                  </w:r>
                </w:p>
              </w:tc>
              <w:tc>
                <w:tcPr>
                  <w:tcW w:w="990"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山泽</w:t>
                  </w:r>
                  <w:r>
                    <w:rPr>
                      <w:rFonts w:ascii="仿宋" w:hAnsi="仿宋" w:eastAsia="仿宋" w:cs="仿宋"/>
                      <w:sz w:val="24"/>
                    </w:rPr>
                    <w:t>WAN-11</w:t>
                  </w:r>
                </w:p>
              </w:tc>
              <w:tc>
                <w:tcPr>
                  <w:tcW w:w="258"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4个</w:t>
                  </w:r>
                </w:p>
              </w:tc>
              <w:tc>
                <w:tcPr>
                  <w:tcW w:w="452"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16</w:t>
                  </w:r>
                </w:p>
              </w:tc>
              <w:tc>
                <w:tcPr>
                  <w:tcW w:w="6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落地式机柜</w:t>
                  </w:r>
                </w:p>
              </w:tc>
              <w:tc>
                <w:tcPr>
                  <w:tcW w:w="9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仿宋" w:hAnsi="仿宋" w:eastAsia="仿宋" w:cs="仿宋"/>
                      <w:sz w:val="24"/>
                    </w:rPr>
                    <w:t>600mm</w:t>
                  </w:r>
                  <w:r>
                    <w:rPr>
                      <w:rFonts w:ascii="宋体" w:hAnsi="宋体" w:eastAsia="宋体" w:cs="宋体"/>
                      <w:sz w:val="24"/>
                    </w:rPr>
                    <w:t>×</w:t>
                  </w:r>
                  <w:r>
                    <w:rPr>
                      <w:rFonts w:ascii="仿宋" w:hAnsi="仿宋" w:eastAsia="仿宋" w:cs="仿宋"/>
                      <w:sz w:val="24"/>
                    </w:rPr>
                    <w:t>600mm</w:t>
                  </w:r>
                  <w:r>
                    <w:rPr>
                      <w:rFonts w:ascii="宋体" w:hAnsi="宋体" w:eastAsia="宋体" w:cs="宋体"/>
                      <w:sz w:val="24"/>
                    </w:rPr>
                    <w:t>×</w:t>
                  </w:r>
                  <w:r>
                    <w:rPr>
                      <w:rFonts w:ascii="仿宋" w:hAnsi="仿宋" w:eastAsia="仿宋" w:cs="仿宋"/>
                      <w:sz w:val="24"/>
                    </w:rPr>
                    <w:t>1800mm</w:t>
                  </w:r>
                </w:p>
              </w:tc>
              <w:tc>
                <w:tcPr>
                  <w:tcW w:w="25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1个</w:t>
                  </w:r>
                </w:p>
              </w:tc>
              <w:tc>
                <w:tcPr>
                  <w:tcW w:w="452" w:type="dxa"/>
                  <w:vMerge w:val="continue"/>
                  <w:tcBorders>
                    <w:top w:val="nil"/>
                    <w:left w:val="nil"/>
                    <w:bottom w:val="nil"/>
                    <w:right w:val="single" w:color="000000" w:sz="4" w:space="0"/>
                  </w:tcBorders>
                </w:tcPr>
                <w:p/>
              </w:tc>
            </w:tr>
          </w:tbl>
          <w:p>
            <w:pPr>
              <w:pStyle w:val="4"/>
              <w:spacing w:after="120"/>
              <w:ind w:firstLine="480"/>
              <w:jc w:val="both"/>
            </w:pPr>
          </w:p>
          <w:p>
            <w:pPr>
              <w:pStyle w:val="4"/>
              <w:ind w:firstLine="420"/>
              <w:jc w:val="both"/>
            </w:pPr>
            <w:r>
              <w:rPr>
                <w:rFonts w:ascii="宋体" w:hAnsi="宋体" w:eastAsia="宋体" w:cs="宋体"/>
                <w:sz w:val="22"/>
              </w:rPr>
              <w:t>3、维保内容：</w:t>
            </w:r>
          </w:p>
          <w:p>
            <w:pPr>
              <w:pStyle w:val="4"/>
              <w:ind w:firstLine="440"/>
              <w:jc w:val="both"/>
            </w:pPr>
            <w:r>
              <w:rPr>
                <w:rFonts w:ascii="宋体" w:hAnsi="宋体" w:eastAsia="宋体" w:cs="宋体"/>
                <w:sz w:val="22"/>
              </w:rPr>
              <w:t>（1）对上表中的软件、硬件进行日常维护，保证其正常运行。</w:t>
            </w:r>
          </w:p>
          <w:p>
            <w:pPr>
              <w:pStyle w:val="4"/>
              <w:ind w:firstLine="440"/>
              <w:jc w:val="both"/>
            </w:pPr>
            <w:r>
              <w:rPr>
                <w:rFonts w:ascii="宋体" w:hAnsi="宋体" w:eastAsia="宋体" w:cs="宋体"/>
                <w:sz w:val="22"/>
              </w:rPr>
              <w:t>（2）对医院在日常使用过程中，软件系统本身出现的BUG进行修复。</w:t>
            </w:r>
          </w:p>
          <w:p>
            <w:pPr>
              <w:pStyle w:val="4"/>
              <w:ind w:firstLine="440"/>
              <w:jc w:val="both"/>
            </w:pPr>
            <w:r>
              <w:rPr>
                <w:rFonts w:ascii="宋体" w:hAnsi="宋体" w:eastAsia="宋体" w:cs="宋体"/>
                <w:sz w:val="22"/>
              </w:rPr>
              <w:t>（3）对医院在业务运行、管理工作中提出的合理优化要求，进行软件的优化升级。</w:t>
            </w:r>
          </w:p>
          <w:p>
            <w:pPr>
              <w:pStyle w:val="4"/>
              <w:ind w:firstLine="440"/>
              <w:jc w:val="both"/>
            </w:pPr>
            <w:r>
              <w:rPr>
                <w:rFonts w:ascii="宋体" w:hAnsi="宋体" w:eastAsia="宋体" w:cs="宋体"/>
                <w:sz w:val="22"/>
              </w:rPr>
              <w:t>（4）因卫计、医保、人社、药监、疾控、财政等各级行政管理部门的政策性要求，导致现有软件模块功能不能满足要求，需进行相应软件模块功能的修改、完善。</w:t>
            </w:r>
          </w:p>
          <w:p>
            <w:pPr>
              <w:pStyle w:val="4"/>
              <w:ind w:firstLine="440"/>
              <w:jc w:val="both"/>
            </w:pPr>
            <w:r>
              <w:rPr>
                <w:rFonts w:ascii="宋体" w:hAnsi="宋体" w:eastAsia="宋体" w:cs="宋体"/>
                <w:sz w:val="22"/>
              </w:rPr>
              <w:t>4、维保要求：</w:t>
            </w:r>
          </w:p>
          <w:p>
            <w:pPr>
              <w:pStyle w:val="4"/>
              <w:ind w:firstLine="440"/>
              <w:jc w:val="both"/>
            </w:pPr>
            <w:r>
              <w:rPr>
                <w:rFonts w:ascii="宋体" w:hAnsi="宋体" w:eastAsia="宋体" w:cs="宋体"/>
                <w:sz w:val="22"/>
              </w:rPr>
              <w:t>（1）</w:t>
            </w:r>
            <w:r>
              <w:rPr>
                <w:rFonts w:ascii="宋体" w:hAnsi="宋体" w:eastAsia="宋体" w:cs="宋体"/>
                <w:sz w:val="24"/>
              </w:rPr>
              <w:t>在维保期间，针对以上应用软件的维护、更新等所产生的一切费用均包含在本次报价中。硬件出现故障，中标人负责维修、更换硬件以及后续所涉及到的各种软件安装调试、数据库安装调试和可能涉及到的报表格式、大小、其他设置等后续工作，所产生的一切费用均包含在本次报价中。</w:t>
            </w:r>
          </w:p>
          <w:p>
            <w:pPr>
              <w:pStyle w:val="4"/>
              <w:ind w:firstLine="440"/>
              <w:jc w:val="both"/>
            </w:pPr>
          </w:p>
          <w:p>
            <w:pPr>
              <w:pStyle w:val="4"/>
              <w:ind w:firstLine="440"/>
              <w:jc w:val="both"/>
            </w:pPr>
            <w:r>
              <w:rPr>
                <w:rFonts w:ascii="宋体" w:hAnsi="宋体" w:eastAsia="宋体" w:cs="宋体"/>
                <w:sz w:val="22"/>
              </w:rPr>
              <w:t>（2）中标人要成立软件维保服务项目领导小组并制定工作方案，与院方取得联系成立软件维保服务项目联合工作组，做到事事落实到人，建立双方维保工作台帐，对不能及时完成事项要说明原因。</w:t>
            </w:r>
          </w:p>
          <w:p>
            <w:pPr>
              <w:pStyle w:val="4"/>
              <w:ind w:firstLine="440"/>
              <w:jc w:val="both"/>
            </w:pPr>
            <w:r>
              <w:rPr>
                <w:rFonts w:ascii="宋体" w:hAnsi="宋体" w:eastAsia="宋体" w:cs="宋体"/>
                <w:sz w:val="22"/>
              </w:rPr>
              <w:t>（3）中标人要在符合信息化建设框架下能够充分尊重医务人员建议意见，及时修改工作程序，满足医院实际工作的需要。</w:t>
            </w:r>
          </w:p>
          <w:p>
            <w:pPr>
              <w:pStyle w:val="4"/>
              <w:ind w:firstLine="440"/>
              <w:jc w:val="both"/>
            </w:pPr>
            <w:r>
              <w:rPr>
                <w:rFonts w:ascii="宋体" w:hAnsi="宋体" w:eastAsia="宋体" w:cs="宋体"/>
                <w:sz w:val="22"/>
              </w:rPr>
              <w:t>（4）中标人要对软件维保服务项目进行全面梳理，及时了解和掌握医院工作人员对软件的熟悉和利用程度，必要时要到现场进行培训指导，让软件充分发挥其应有作用。对医院利用不充分甚至未利用的系统功能，中标人有责任以书面形式向医院提出。</w:t>
            </w:r>
          </w:p>
          <w:p>
            <w:pPr>
              <w:pStyle w:val="4"/>
              <w:ind w:firstLine="440"/>
              <w:jc w:val="both"/>
            </w:pPr>
            <w:r>
              <w:rPr>
                <w:rFonts w:ascii="宋体" w:hAnsi="宋体" w:eastAsia="宋体" w:cs="宋体"/>
                <w:sz w:val="22"/>
              </w:rPr>
              <w:t>（5）中标人要至少每季度提供一次软件维保服务项目工作报告，内容包括但不限于：培训、指导、商讨、修改、升级、更新、建议、要求、流程再造、设备接入、业务扩展（专指院内）等，以及医院提出的其他要求和落实情况等。</w:t>
            </w:r>
          </w:p>
          <w:p>
            <w:pPr>
              <w:pStyle w:val="4"/>
              <w:ind w:firstLine="440"/>
              <w:jc w:val="both"/>
            </w:pPr>
            <w:r>
              <w:rPr>
                <w:rFonts w:ascii="宋体" w:hAnsi="宋体" w:eastAsia="宋体" w:cs="宋体"/>
                <w:sz w:val="22"/>
              </w:rPr>
              <w:t>（6）国家新增加或修订政策、法律法规规章出台的所有相关信息，中标人有义务及时提供给院方。</w:t>
            </w:r>
          </w:p>
          <w:p>
            <w:pPr>
              <w:pStyle w:val="4"/>
              <w:ind w:firstLine="440"/>
              <w:jc w:val="both"/>
            </w:pPr>
            <w:r>
              <w:rPr>
                <w:rFonts w:ascii="宋体" w:hAnsi="宋体" w:eastAsia="宋体" w:cs="宋体"/>
                <w:sz w:val="22"/>
              </w:rPr>
              <w:t>（7）如院方信息化建设需要与第三方公司合作，中标人应积极配合完成由院方加盖公章提出的需求，以使医院信息化建设逐步完善，功能更加齐全。</w:t>
            </w:r>
          </w:p>
          <w:p>
            <w:pPr>
              <w:pStyle w:val="4"/>
              <w:ind w:firstLine="440"/>
              <w:jc w:val="both"/>
            </w:pPr>
            <w:r>
              <w:rPr>
                <w:rFonts w:ascii="宋体" w:hAnsi="宋体" w:eastAsia="宋体" w:cs="宋体"/>
                <w:sz w:val="22"/>
              </w:rPr>
              <w:t>（8）中标人应积极配合完成因院方接受检查、巡察、评审、复审而提出的信息化相关要求。</w:t>
            </w:r>
          </w:p>
          <w:p>
            <w:pPr>
              <w:pStyle w:val="4"/>
              <w:ind w:firstLine="440"/>
              <w:jc w:val="both"/>
            </w:pPr>
            <w:r>
              <w:rPr>
                <w:rFonts w:ascii="宋体" w:hAnsi="宋体" w:eastAsia="宋体" w:cs="宋体"/>
                <w:sz w:val="22"/>
              </w:rPr>
              <w:t>（9）任何情况下，中标人都不得采用任何技术手段或措施限制院方对已购项目的使用权。中标人应有可靠的技术措施和制度，保障项目实施及运行过程中中标人相关工作人员所获得的院方业务数据及患者、医务人员个人信息和诊疗信息等均永久保密，若有泄露中标人应承担相应的法律责任。</w:t>
            </w:r>
          </w:p>
          <w:p>
            <w:pPr>
              <w:pStyle w:val="4"/>
              <w:ind w:firstLine="440"/>
              <w:jc w:val="both"/>
            </w:pPr>
            <w:r>
              <w:rPr>
                <w:rFonts w:ascii="宋体" w:hAnsi="宋体" w:eastAsia="宋体" w:cs="宋体"/>
                <w:sz w:val="22"/>
              </w:rPr>
              <w:t>5、售后服务要求：</w:t>
            </w:r>
          </w:p>
          <w:p>
            <w:pPr>
              <w:pStyle w:val="4"/>
              <w:ind w:firstLine="440"/>
              <w:jc w:val="both"/>
            </w:pPr>
            <w:r>
              <w:rPr>
                <w:rFonts w:ascii="宋体" w:hAnsi="宋体" w:eastAsia="宋体" w:cs="宋体"/>
                <w:sz w:val="22"/>
              </w:rPr>
              <w:t>(1)系统出现故障，投标人实行7*24 服务制度（即一周 7 天，一天 24 小时），向客户提供全天候电话信息咨询和技术支持响应。</w:t>
            </w:r>
          </w:p>
          <w:p>
            <w:pPr>
              <w:pStyle w:val="4"/>
              <w:ind w:firstLine="440"/>
              <w:jc w:val="both"/>
            </w:pPr>
            <w:r>
              <w:rPr>
                <w:rFonts w:ascii="宋体" w:hAnsi="宋体" w:eastAsia="宋体" w:cs="宋体"/>
                <w:sz w:val="22"/>
              </w:rPr>
              <w:t>(2)非故障性的其他系统升级、优化、政策指令性等需求，应在政策指令要求的时限前完成，用户自身合理需求完成时间不超过1个月（以需求正式提交时间为准），系统BUG修正时间不超过2周（以BUG确认时间为准）。</w:t>
            </w:r>
          </w:p>
          <w:p>
            <w:pPr>
              <w:pStyle w:val="4"/>
              <w:ind w:firstLine="440"/>
              <w:jc w:val="both"/>
            </w:pPr>
            <w:r>
              <w:rPr>
                <w:rFonts w:ascii="宋体" w:hAnsi="宋体" w:eastAsia="宋体" w:cs="宋体"/>
                <w:sz w:val="22"/>
              </w:rPr>
              <w:t>(3)投标人须指派专人负责与采购人联系售后服务事宜：提供人员姓名、职务、联系电话（含座机、手机等）。</w:t>
            </w:r>
          </w:p>
          <w:p>
            <w:pPr>
              <w:pStyle w:val="4"/>
              <w:ind w:firstLine="440"/>
              <w:jc w:val="both"/>
            </w:pPr>
            <w:r>
              <w:rPr>
                <w:rFonts w:ascii="宋体" w:hAnsi="宋体" w:eastAsia="宋体" w:cs="宋体"/>
                <w:sz w:val="22"/>
              </w:rPr>
              <w:t>(4)投标人在进行软件升级、整改、发布等操作时，必须提前以书面形式告之采购人。包括但不仅限于：操作人员、操作时间、操作内容、后续影响等内容。征得采购人同意后方可进行操作。</w:t>
            </w:r>
          </w:p>
          <w:p>
            <w:pPr>
              <w:pStyle w:val="4"/>
              <w:ind w:firstLine="440"/>
              <w:jc w:val="both"/>
            </w:pPr>
            <w:r>
              <w:rPr>
                <w:rFonts w:ascii="宋体" w:hAnsi="宋体" w:eastAsia="宋体" w:cs="宋体"/>
                <w:sz w:val="24"/>
              </w:rPr>
              <w:t>(5)定期巡检：包括软、硬件、网络的巡检、维护服务。定期巡检周期为：每季度一次。并附上巡检报表，内容至少包括：巡检时间、巡检人、巡检对象，巡检情况、处理情况，就巡检异常情况提出整改建议等。</w:t>
            </w:r>
          </w:p>
          <w:p>
            <w:pPr>
              <w:pStyle w:val="4"/>
              <w:ind w:firstLine="440"/>
              <w:jc w:val="both"/>
            </w:pPr>
            <w:r>
              <w:rPr>
                <w:rFonts w:ascii="宋体" w:hAnsi="宋体" w:eastAsia="宋体" w:cs="宋体"/>
                <w:sz w:val="22"/>
              </w:rPr>
              <w:t>(6)在服务期间，硬件设备出现故障后，10分钟响应。12小时内派人到现场进行故障处理。若24小时内处理不好，则负责提供备用设备。同时负责对故障设备进行维修以及后续的安装、调试等工作。由此产生的一切费用包含在此次报价内。</w:t>
            </w:r>
          </w:p>
          <w:p>
            <w:pPr>
              <w:pStyle w:val="4"/>
              <w:ind w:firstLine="440"/>
              <w:jc w:val="both"/>
            </w:pPr>
            <w:r>
              <w:rPr>
                <w:rFonts w:ascii="宋体" w:hAnsi="宋体" w:eastAsia="宋体" w:cs="宋体"/>
                <w:sz w:val="22"/>
              </w:rPr>
              <w:t>(7)现场无法立即修复排除故障的，投标人提供维修方案及修复时间安排。</w:t>
            </w:r>
          </w:p>
          <w:p>
            <w:pPr>
              <w:pStyle w:val="4"/>
              <w:ind w:left="480"/>
              <w:jc w:val="both"/>
            </w:pPr>
            <w:r>
              <w:rPr>
                <w:rFonts w:ascii="宋体" w:hAnsi="宋体" w:eastAsia="宋体" w:cs="宋体"/>
                <w:sz w:val="22"/>
              </w:rPr>
              <w:t>(8)维保合同期内，非人为因素和易损易耗件的正常更换外，必须保证 95％ 以上日期（以每年 365 天计算）能正常工作，如未能达到，应适当延长保修期。</w:t>
            </w:r>
          </w:p>
          <w:p>
            <w:pPr>
              <w:pStyle w:val="4"/>
              <w:ind w:firstLine="440"/>
              <w:jc w:val="left"/>
            </w:pPr>
            <w:r>
              <w:rPr>
                <w:rFonts w:ascii="宋体" w:hAnsi="宋体" w:eastAsia="宋体" w:cs="宋体"/>
                <w:sz w:val="22"/>
              </w:rPr>
              <w:t>6、付款方式</w:t>
            </w:r>
          </w:p>
          <w:p>
            <w:pPr>
              <w:pStyle w:val="4"/>
              <w:ind w:firstLine="440"/>
              <w:jc w:val="left"/>
            </w:pPr>
            <w:r>
              <w:rPr>
                <w:rFonts w:ascii="宋体" w:hAnsi="宋体" w:eastAsia="宋体" w:cs="宋体"/>
                <w:sz w:val="22"/>
              </w:rPr>
              <w:t>(1)每年结算一次，共计三年。先服务后付款，服务时间满一年后凭本次维护的软、硬件和网络设备运行报告申请支付。运行报告至少包括：本年度各类故障解决次数，每次故障处理周期，故障处理结果，故障处理人；软件、硬件、网络升级次数、升级内容、升级结果、操作人等。中标供应商须向采购人出具合法有效完整的完税发票及凭证资料后30个工作日内进行支付结算。</w:t>
            </w:r>
          </w:p>
          <w:p>
            <w:pPr>
              <w:pStyle w:val="4"/>
              <w:ind w:firstLine="440"/>
              <w:jc w:val="left"/>
            </w:pPr>
            <w:r>
              <w:rPr>
                <w:rFonts w:ascii="宋体" w:hAnsi="宋体" w:eastAsia="宋体" w:cs="宋体"/>
                <w:sz w:val="22"/>
              </w:rPr>
              <w:t>(2)如因乙方未取得甲方许可，私自接入甲方系统或进行操作给甲方造成损失或侵害，由此带来的甲方所有损失均由乙方承担。另：出现一次此类情况扣除三年总维护费的5%。</w:t>
            </w:r>
          </w:p>
          <w:p>
            <w:pPr>
              <w:pStyle w:val="4"/>
              <w:ind w:firstLine="480"/>
              <w:jc w:val="left"/>
            </w:pPr>
            <w:r>
              <w:rPr>
                <w:rFonts w:ascii="宋体" w:hAnsi="宋体" w:eastAsia="宋体" w:cs="宋体"/>
                <w:sz w:val="24"/>
              </w:rPr>
              <w:t>(3)</w:t>
            </w:r>
            <w:r>
              <w:rPr>
                <w:rFonts w:ascii="宋体" w:hAnsi="宋体" w:eastAsia="宋体" w:cs="宋体"/>
                <w:sz w:val="22"/>
              </w:rPr>
              <w:t>由于乙方维护不及时或者维护中出现失误等情况给甲方造成的一切损失，由乙方全部承担。另：出现一次此类情况扣除三年总维护费的5%。</w:t>
            </w:r>
          </w:p>
          <w:p>
            <w:pPr>
              <w:pStyle w:val="4"/>
              <w:ind w:firstLine="440"/>
              <w:jc w:val="left"/>
            </w:pPr>
            <w:r>
              <w:rPr>
                <w:rFonts w:ascii="宋体" w:hAnsi="宋体" w:eastAsia="宋体" w:cs="宋体"/>
                <w:sz w:val="22"/>
              </w:rPr>
              <w:t>(4)非故障性的其他系统升级、优化、政策指令性等需求，应在政策指令要求的时限前完成，用户自身合理需求完成时间不超过1个月（以需求正式提交时间为准），系统BUG修正时间不超过2周（以BUG确认时间为准）。若超过此时间，则每超过10个工作日扣除三年总维护费用5%，扣除完所有维护费后，甲方有权利终止合同并追究中标方的法律责任。</w:t>
            </w:r>
          </w:p>
        </w:tc>
      </w:tr>
    </w:tbl>
    <w:p>
      <w:pPr>
        <w:pStyle w:val="4"/>
      </w:pPr>
    </w:p>
    <w:p>
      <w:pPr>
        <w:pStyle w:val="4"/>
      </w:pPr>
      <w:r>
        <w:t>采购包2：</w:t>
      </w:r>
    </w:p>
    <w:p>
      <w:pPr>
        <w:pStyle w:val="4"/>
      </w:pPr>
    </w:p>
    <w:p>
      <w:pPr>
        <w:pStyle w:val="4"/>
      </w:pPr>
      <w:r>
        <w:t>标的名称：HRP软件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0"/>
        <w:gridCol w:w="881"/>
        <w:gridCol w:w="67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宋体" w:hAnsi="宋体" w:eastAsia="宋体" w:cs="宋体"/>
                <w:sz w:val="24"/>
              </w:rPr>
              <w:t>1、需要维保的软件、硬件：</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0"/>
              <w:gridCol w:w="1050"/>
              <w:gridCol w:w="1530"/>
              <w:gridCol w:w="930"/>
              <w:gridCol w:w="1290"/>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single" w:color="000000" w:sz="4" w:space="0"/>
                    <w:left w:val="single" w:color="000000" w:sz="4" w:space="0"/>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序号</w:t>
                  </w:r>
                </w:p>
              </w:tc>
              <w:tc>
                <w:tcPr>
                  <w:tcW w:w="54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产品名称</w:t>
                  </w:r>
                </w:p>
              </w:tc>
              <w:tc>
                <w:tcPr>
                  <w:tcW w:w="65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规格型号</w:t>
                  </w:r>
                </w:p>
              </w:tc>
              <w:tc>
                <w:tcPr>
                  <w:tcW w:w="332"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数量</w:t>
                  </w:r>
                </w:p>
              </w:tc>
              <w:tc>
                <w:tcPr>
                  <w:tcW w:w="53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品牌</w:t>
                  </w:r>
                </w:p>
              </w:tc>
              <w:tc>
                <w:tcPr>
                  <w:tcW w:w="27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承建商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1</w:t>
                  </w:r>
                </w:p>
              </w:tc>
              <w:tc>
                <w:tcPr>
                  <w:tcW w:w="54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HRP软件</w:t>
                  </w:r>
                </w:p>
              </w:tc>
              <w:tc>
                <w:tcPr>
                  <w:tcW w:w="65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V6.30</w:t>
                  </w:r>
                </w:p>
              </w:tc>
              <w:tc>
                <w:tcPr>
                  <w:tcW w:w="33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1套</w:t>
                  </w:r>
                </w:p>
              </w:tc>
              <w:tc>
                <w:tcPr>
                  <w:tcW w:w="53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用友HRP</w:t>
                  </w:r>
                </w:p>
              </w:tc>
              <w:tc>
                <w:tcPr>
                  <w:tcW w:w="276"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用友医疗卫生信息系统有限公司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2</w:t>
                  </w:r>
                </w:p>
              </w:tc>
              <w:tc>
                <w:tcPr>
                  <w:tcW w:w="5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应用服务器</w:t>
                  </w:r>
                </w:p>
              </w:tc>
              <w:tc>
                <w:tcPr>
                  <w:tcW w:w="6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DL388Gen9</w:t>
                  </w:r>
                </w:p>
              </w:tc>
              <w:tc>
                <w:tcPr>
                  <w:tcW w:w="3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1台</w:t>
                  </w:r>
                </w:p>
                <w:p>
                  <w:pPr>
                    <w:pStyle w:val="4"/>
                    <w:spacing w:after="165"/>
                    <w:ind w:firstLine="420"/>
                    <w:jc w:val="both"/>
                  </w:pPr>
                </w:p>
              </w:tc>
              <w:tc>
                <w:tcPr>
                  <w:tcW w:w="53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 xml:space="preserve"> 惠普</w:t>
                  </w:r>
                </w:p>
              </w:tc>
              <w:tc>
                <w:tcPr>
                  <w:tcW w:w="27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3</w:t>
                  </w:r>
                </w:p>
              </w:tc>
              <w:tc>
                <w:tcPr>
                  <w:tcW w:w="543"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数据库服务器</w:t>
                  </w:r>
                </w:p>
              </w:tc>
              <w:tc>
                <w:tcPr>
                  <w:tcW w:w="657"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DL580 Gen9</w:t>
                  </w:r>
                </w:p>
              </w:tc>
              <w:tc>
                <w:tcPr>
                  <w:tcW w:w="332"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1台</w:t>
                  </w:r>
                </w:p>
              </w:tc>
              <w:tc>
                <w:tcPr>
                  <w:tcW w:w="539"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惠普</w:t>
                  </w:r>
                </w:p>
              </w:tc>
              <w:tc>
                <w:tcPr>
                  <w:tcW w:w="27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4</w:t>
                  </w:r>
                </w:p>
              </w:tc>
              <w:tc>
                <w:tcPr>
                  <w:tcW w:w="543"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磁盘整列</w:t>
                  </w:r>
                </w:p>
              </w:tc>
              <w:tc>
                <w:tcPr>
                  <w:tcW w:w="657"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MSA 1040</w:t>
                  </w:r>
                </w:p>
              </w:tc>
              <w:tc>
                <w:tcPr>
                  <w:tcW w:w="332"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1套</w:t>
                  </w:r>
                </w:p>
              </w:tc>
              <w:tc>
                <w:tcPr>
                  <w:tcW w:w="539"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惠普</w:t>
                  </w:r>
                </w:p>
              </w:tc>
              <w:tc>
                <w:tcPr>
                  <w:tcW w:w="27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5</w:t>
                  </w:r>
                </w:p>
              </w:tc>
              <w:tc>
                <w:tcPr>
                  <w:tcW w:w="543"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光纤交换机及线路</w:t>
                  </w:r>
                </w:p>
              </w:tc>
              <w:tc>
                <w:tcPr>
                  <w:tcW w:w="657"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8/24</w:t>
                  </w:r>
                </w:p>
              </w:tc>
              <w:tc>
                <w:tcPr>
                  <w:tcW w:w="332"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1台</w:t>
                  </w:r>
                </w:p>
              </w:tc>
              <w:tc>
                <w:tcPr>
                  <w:tcW w:w="539"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惠普</w:t>
                  </w:r>
                </w:p>
              </w:tc>
              <w:tc>
                <w:tcPr>
                  <w:tcW w:w="27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6</w:t>
                  </w:r>
                </w:p>
              </w:tc>
              <w:tc>
                <w:tcPr>
                  <w:tcW w:w="543"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条码打印机</w:t>
                  </w:r>
                </w:p>
              </w:tc>
              <w:tc>
                <w:tcPr>
                  <w:tcW w:w="657"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GT820</w:t>
                  </w:r>
                </w:p>
              </w:tc>
              <w:tc>
                <w:tcPr>
                  <w:tcW w:w="332"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3台</w:t>
                  </w:r>
                </w:p>
              </w:tc>
              <w:tc>
                <w:tcPr>
                  <w:tcW w:w="539"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ZeBra</w:t>
                  </w:r>
                </w:p>
              </w:tc>
              <w:tc>
                <w:tcPr>
                  <w:tcW w:w="27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6</w:t>
                  </w:r>
                </w:p>
              </w:tc>
              <w:tc>
                <w:tcPr>
                  <w:tcW w:w="543"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防火墙</w:t>
                  </w:r>
                </w:p>
              </w:tc>
              <w:tc>
                <w:tcPr>
                  <w:tcW w:w="657" w:type="dxa"/>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Power</w:t>
                  </w:r>
                </w:p>
                <w:p>
                  <w:pPr>
                    <w:pStyle w:val="4"/>
                    <w:jc w:val="left"/>
                  </w:pPr>
                  <w:r>
                    <w:rPr>
                      <w:rFonts w:ascii="宋体" w:hAnsi="宋体" w:eastAsia="宋体" w:cs="宋体"/>
                      <w:sz w:val="24"/>
                    </w:rPr>
                    <w:t>V6000-F1310</w:t>
                  </w:r>
                </w:p>
              </w:tc>
              <w:tc>
                <w:tcPr>
                  <w:tcW w:w="332"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1台</w:t>
                  </w:r>
                </w:p>
              </w:tc>
              <w:tc>
                <w:tcPr>
                  <w:tcW w:w="539"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网御星云</w:t>
                  </w:r>
                </w:p>
              </w:tc>
              <w:tc>
                <w:tcPr>
                  <w:tcW w:w="27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7</w:t>
                  </w:r>
                </w:p>
              </w:tc>
              <w:tc>
                <w:tcPr>
                  <w:tcW w:w="5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数据采集器</w:t>
                  </w:r>
                </w:p>
              </w:tc>
              <w:tc>
                <w:tcPr>
                  <w:tcW w:w="6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D6100</w:t>
                  </w:r>
                </w:p>
              </w:tc>
              <w:tc>
                <w:tcPr>
                  <w:tcW w:w="3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6台</w:t>
                  </w:r>
                </w:p>
              </w:tc>
              <w:tc>
                <w:tcPr>
                  <w:tcW w:w="53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left"/>
                  </w:pPr>
                  <w:r>
                    <w:rPr>
                      <w:rFonts w:ascii="宋体" w:hAnsi="宋体" w:eastAsia="宋体" w:cs="宋体"/>
                      <w:sz w:val="24"/>
                    </w:rPr>
                    <w:t>霍尼韦尔</w:t>
                  </w:r>
                </w:p>
              </w:tc>
              <w:tc>
                <w:tcPr>
                  <w:tcW w:w="276" w:type="dxa"/>
                  <w:vMerge w:val="continue"/>
                  <w:tcBorders>
                    <w:top w:val="nil"/>
                    <w:left w:val="nil"/>
                    <w:bottom w:val="nil"/>
                    <w:right w:val="single" w:color="000000" w:sz="4" w:space="0"/>
                  </w:tcBorders>
                </w:tcPr>
                <w:p/>
              </w:tc>
            </w:tr>
          </w:tbl>
          <w:p>
            <w:pPr>
              <w:pStyle w:val="4"/>
              <w:ind w:firstLine="482"/>
              <w:jc w:val="left"/>
            </w:pPr>
            <w:r>
              <w:rPr>
                <w:rFonts w:ascii="宋体" w:hAnsi="宋体" w:eastAsia="宋体" w:cs="宋体"/>
                <w:b/>
                <w:sz w:val="24"/>
              </w:rPr>
              <w:t>2、维保内容：</w:t>
            </w:r>
          </w:p>
          <w:p>
            <w:pPr>
              <w:pStyle w:val="4"/>
              <w:spacing w:after="165"/>
              <w:ind w:firstLine="480"/>
              <w:jc w:val="both"/>
            </w:pPr>
            <w:r>
              <w:rPr>
                <w:rFonts w:ascii="宋体" w:hAnsi="宋体" w:eastAsia="宋体" w:cs="宋体"/>
                <w:sz w:val="24"/>
              </w:rPr>
              <w:t>（1）对上表中的软件、硬件进行日常维护、优化，保证其正常运行。</w:t>
            </w:r>
          </w:p>
          <w:p>
            <w:pPr>
              <w:pStyle w:val="4"/>
              <w:spacing w:after="165"/>
              <w:ind w:firstLine="480"/>
              <w:jc w:val="both"/>
            </w:pPr>
            <w:r>
              <w:rPr>
                <w:rFonts w:ascii="宋体" w:hAnsi="宋体" w:eastAsia="宋体" w:cs="宋体"/>
                <w:sz w:val="24"/>
              </w:rPr>
              <w:t>（2）对医院在日常使用过程中，软件系统本身出现的BUG进行修复。</w:t>
            </w:r>
          </w:p>
          <w:p>
            <w:pPr>
              <w:pStyle w:val="4"/>
              <w:spacing w:after="165"/>
              <w:ind w:firstLine="480"/>
              <w:jc w:val="both"/>
            </w:pPr>
            <w:r>
              <w:rPr>
                <w:rFonts w:ascii="宋体" w:hAnsi="宋体" w:eastAsia="宋体" w:cs="宋体"/>
                <w:sz w:val="24"/>
              </w:rPr>
              <w:t>（3）对医院在业务运行、管理工作中提出的合理优化要求，进行版本内软件的优化升级。</w:t>
            </w:r>
          </w:p>
          <w:p>
            <w:pPr>
              <w:pStyle w:val="4"/>
              <w:spacing w:after="165"/>
              <w:ind w:firstLine="480"/>
              <w:jc w:val="both"/>
            </w:pPr>
            <w:r>
              <w:rPr>
                <w:rFonts w:ascii="宋体" w:hAnsi="宋体" w:eastAsia="宋体" w:cs="宋体"/>
                <w:sz w:val="24"/>
              </w:rPr>
              <w:t>（4）因卫计、医保、人社、药监、疾控、财政等各级行政管理部门的政策性要求，导致现有软件模块功能不能满足要求，需进行相应软件模块功能的修改、完善。</w:t>
            </w:r>
          </w:p>
          <w:p>
            <w:pPr>
              <w:pStyle w:val="4"/>
              <w:spacing w:after="165"/>
              <w:ind w:firstLine="482"/>
              <w:jc w:val="both"/>
            </w:pPr>
            <w:r>
              <w:rPr>
                <w:rFonts w:ascii="宋体" w:hAnsi="宋体" w:eastAsia="宋体" w:cs="宋体"/>
                <w:b/>
                <w:sz w:val="24"/>
              </w:rPr>
              <w:t>3、维保要求：</w:t>
            </w:r>
          </w:p>
          <w:p>
            <w:pPr>
              <w:pStyle w:val="4"/>
              <w:spacing w:after="165"/>
              <w:ind w:firstLine="480"/>
              <w:jc w:val="both"/>
            </w:pPr>
            <w:r>
              <w:rPr>
                <w:rFonts w:ascii="宋体" w:hAnsi="宋体" w:eastAsia="宋体" w:cs="宋体"/>
                <w:sz w:val="24"/>
              </w:rPr>
              <w:t>（1）在维保期间，针对以上应用软件的维护、更新等所产生的一切费用均包含在本次报价中。硬件出现故障，中标人负责维修、更换硬件以及后续所涉及到的各种软件安装调试、数据库安装调试和可能涉及到的报表格式、大小、其他设置等后续工作，所产生的一切费用均包含在本次报价中。</w:t>
            </w:r>
          </w:p>
          <w:p>
            <w:pPr>
              <w:pStyle w:val="4"/>
              <w:spacing w:after="165"/>
              <w:ind w:firstLine="480"/>
              <w:jc w:val="both"/>
            </w:pPr>
            <w:r>
              <w:rPr>
                <w:rFonts w:ascii="宋体" w:hAnsi="宋体" w:eastAsia="宋体" w:cs="宋体"/>
                <w:sz w:val="24"/>
              </w:rPr>
              <w:t>（2）中标人要成立软件维保服务项目领导小组并制定工作方案，与院方取得联系成立软件维保服务项目联合工作组，建立双方维保工作台帐，对不能及时完成事项要说明原因。</w:t>
            </w:r>
          </w:p>
          <w:p>
            <w:pPr>
              <w:pStyle w:val="4"/>
              <w:spacing w:after="165"/>
              <w:ind w:firstLine="480"/>
              <w:jc w:val="both"/>
            </w:pPr>
            <w:r>
              <w:rPr>
                <w:rFonts w:ascii="宋体" w:hAnsi="宋体" w:eastAsia="宋体" w:cs="宋体"/>
                <w:sz w:val="24"/>
              </w:rPr>
              <w:t>（3）中标人要在符合信息化建设框架下能够充分尊重医务人员建议意见，及时维护系统，调整服务方案满足医院实际工作的需要。</w:t>
            </w:r>
          </w:p>
          <w:p>
            <w:pPr>
              <w:pStyle w:val="4"/>
              <w:spacing w:after="165"/>
              <w:ind w:firstLine="480"/>
              <w:jc w:val="both"/>
            </w:pPr>
            <w:r>
              <w:rPr>
                <w:rFonts w:ascii="宋体" w:hAnsi="宋体" w:eastAsia="宋体" w:cs="宋体"/>
                <w:sz w:val="24"/>
              </w:rPr>
              <w:t>（4）中标人要对软件维保服务项目进行全面梳理，及时了解和掌握医院工作人员对软件的熟悉和利用程度，必要时要到现场进行培训指导，让软件充分发挥其应有作用。对医院利用不充分甚至未利用的系统功能，中标人有责任以书面形式向医院提出。</w:t>
            </w:r>
          </w:p>
          <w:p>
            <w:pPr>
              <w:pStyle w:val="4"/>
              <w:spacing w:after="165"/>
              <w:ind w:firstLine="480"/>
              <w:jc w:val="both"/>
            </w:pPr>
            <w:r>
              <w:rPr>
                <w:rFonts w:ascii="宋体" w:hAnsi="宋体" w:eastAsia="宋体" w:cs="宋体"/>
                <w:sz w:val="24"/>
              </w:rPr>
              <w:t>（5）中标人要至少每季度提供一次软件维保服务项目工作报告，内容包括但不限于：培训、指导、商讨、修改、升级、更新、建议、要求、流程再造、设备接入、业务扩展（专指院内）等，以及医院提出的其他要求和落实情况等。</w:t>
            </w:r>
          </w:p>
          <w:p>
            <w:pPr>
              <w:pStyle w:val="4"/>
              <w:spacing w:after="165"/>
              <w:ind w:firstLine="480"/>
              <w:jc w:val="both"/>
            </w:pPr>
            <w:r>
              <w:rPr>
                <w:rFonts w:ascii="宋体" w:hAnsi="宋体" w:eastAsia="宋体" w:cs="宋体"/>
                <w:sz w:val="24"/>
              </w:rPr>
              <w:t>（6）国家新增加或修订政策、法律法规规章出台的所有相关信息，中标人有义务及时提供给院方。</w:t>
            </w:r>
          </w:p>
          <w:p>
            <w:pPr>
              <w:pStyle w:val="4"/>
              <w:spacing w:after="165"/>
              <w:ind w:firstLine="480"/>
              <w:jc w:val="both"/>
            </w:pPr>
            <w:r>
              <w:rPr>
                <w:rFonts w:ascii="宋体" w:hAnsi="宋体" w:eastAsia="宋体" w:cs="宋体"/>
                <w:sz w:val="24"/>
              </w:rPr>
              <w:t>（7）如院方信息化建设需要与第三方公司合作，中标人应积极配合完成由院方加盖公章提出的需求（如涉及费用，相关费用双方协商），以使医院信息化建设逐步完善，功能更加齐全。</w:t>
            </w:r>
          </w:p>
          <w:p>
            <w:pPr>
              <w:pStyle w:val="4"/>
              <w:spacing w:after="165"/>
              <w:ind w:firstLine="480"/>
              <w:jc w:val="both"/>
            </w:pPr>
            <w:r>
              <w:rPr>
                <w:rFonts w:ascii="宋体" w:hAnsi="宋体" w:eastAsia="宋体" w:cs="宋体"/>
                <w:sz w:val="24"/>
              </w:rPr>
              <w:t>（8）中标人应积极配合完成因院方接受检查、巡察、评审、复审而提出的信息化相关要求。</w:t>
            </w:r>
          </w:p>
          <w:p>
            <w:pPr>
              <w:pStyle w:val="4"/>
              <w:spacing w:after="165"/>
              <w:ind w:firstLine="480"/>
              <w:jc w:val="both"/>
            </w:pPr>
            <w:r>
              <w:rPr>
                <w:rFonts w:ascii="宋体" w:hAnsi="宋体" w:eastAsia="宋体" w:cs="宋体"/>
                <w:sz w:val="24"/>
              </w:rPr>
              <w:t>（9）任何情况下，中标人都不得采用任何技术手段或措施限制院方对已购项目的使用权。中标人应有可靠的技术措施和制度，保障项目实施及运行过程中中标人相关工作人员所获得的院方业务数据及患者、医务人员个人信息和诊疗信息等均永久保密，若有泄露中标人应承担相应的法律责任。</w:t>
            </w:r>
          </w:p>
          <w:p>
            <w:pPr>
              <w:pStyle w:val="4"/>
              <w:spacing w:after="165"/>
              <w:ind w:firstLine="480"/>
              <w:jc w:val="both"/>
            </w:pPr>
            <w:r>
              <w:rPr>
                <w:rFonts w:ascii="宋体" w:hAnsi="宋体" w:eastAsia="宋体" w:cs="宋体"/>
                <w:sz w:val="24"/>
              </w:rPr>
              <w:t>(10)中标人在服务期间提供一套资产打印软件，打印HRP系统所有物资的资产条码，包括：资产名字，使用部门、管理部门、发放日期、存放地方等信息。并提供条码打印机以及打印机的调试安装。所产生的费用包含在此次报价内。</w:t>
            </w:r>
          </w:p>
          <w:p>
            <w:pPr>
              <w:pStyle w:val="4"/>
              <w:spacing w:after="165"/>
              <w:ind w:firstLine="482"/>
              <w:jc w:val="both"/>
            </w:pPr>
            <w:r>
              <w:rPr>
                <w:rFonts w:ascii="宋体" w:hAnsi="宋体" w:eastAsia="宋体" w:cs="宋体"/>
                <w:b/>
                <w:sz w:val="24"/>
              </w:rPr>
              <w:t>4、售后服务要求</w:t>
            </w:r>
            <w:r>
              <w:rPr>
                <w:rFonts w:ascii="宋体" w:hAnsi="宋体" w:eastAsia="宋体" w:cs="宋体"/>
                <w:sz w:val="24"/>
              </w:rPr>
              <w:t>：</w:t>
            </w:r>
          </w:p>
          <w:p>
            <w:pPr>
              <w:pStyle w:val="4"/>
              <w:spacing w:after="165"/>
              <w:ind w:firstLine="480"/>
              <w:jc w:val="both"/>
            </w:pPr>
            <w:r>
              <w:rPr>
                <w:rFonts w:ascii="宋体" w:hAnsi="宋体" w:eastAsia="宋体" w:cs="宋体"/>
                <w:sz w:val="24"/>
              </w:rPr>
              <w:t>(1)系统出现故障，投标人实行 7*24 服务制度（即一周 7 天，一天 24 小时），向客户提供全天候电话信息咨询和技术支持响应。</w:t>
            </w:r>
          </w:p>
          <w:p>
            <w:pPr>
              <w:pStyle w:val="4"/>
              <w:spacing w:after="165"/>
              <w:ind w:firstLine="480"/>
              <w:jc w:val="both"/>
            </w:pPr>
            <w:r>
              <w:rPr>
                <w:rFonts w:ascii="宋体" w:hAnsi="宋体" w:eastAsia="宋体" w:cs="宋体"/>
                <w:sz w:val="24"/>
              </w:rPr>
              <w:t>(2)非故障性的其他系统升级、优化、政策指令性等需求，应在政策指令要求的时限前完成，用户自身合理需求完成时间不超过1个月（以需求正式提交时间为准），系统BUG修正时间不超过2周（以BUG确认时间为准）。每月需派工程技术人员现场进行系统功能调整和实施，保障系统运行状态良好。</w:t>
            </w:r>
          </w:p>
          <w:p>
            <w:pPr>
              <w:pStyle w:val="4"/>
              <w:spacing w:after="165"/>
              <w:ind w:firstLine="480"/>
              <w:jc w:val="both"/>
            </w:pPr>
            <w:r>
              <w:rPr>
                <w:rFonts w:ascii="宋体" w:hAnsi="宋体" w:eastAsia="宋体" w:cs="宋体"/>
                <w:sz w:val="24"/>
              </w:rPr>
              <w:t>(3)投标人须指派专人负责与采购人联系售后服务事宜：提供人员姓名、职务、联系电话（含座机、手机等）。</w:t>
            </w:r>
          </w:p>
          <w:p>
            <w:pPr>
              <w:pStyle w:val="4"/>
              <w:spacing w:after="165"/>
              <w:ind w:firstLine="480"/>
              <w:jc w:val="both"/>
            </w:pPr>
            <w:r>
              <w:rPr>
                <w:rFonts w:ascii="宋体" w:hAnsi="宋体" w:eastAsia="宋体" w:cs="宋体"/>
                <w:sz w:val="24"/>
              </w:rPr>
              <w:t>(4)投标人在进行软件升级、整改、发布等操作时，必须提前以书面形式告之采购人。包括但不仅限于：操作人员、操作时间、操作内容、后续影响等内容。征得采购人同意后方可进行操作。</w:t>
            </w:r>
          </w:p>
          <w:p>
            <w:pPr>
              <w:pStyle w:val="4"/>
              <w:spacing w:after="165"/>
              <w:ind w:firstLine="480"/>
              <w:jc w:val="both"/>
            </w:pPr>
            <w:r>
              <w:rPr>
                <w:rFonts w:ascii="宋体" w:hAnsi="宋体" w:eastAsia="宋体" w:cs="宋体"/>
                <w:sz w:val="24"/>
              </w:rPr>
              <w:t>(5)定期巡检：包括软、硬件的巡检、维护服务。定期巡检周期为：每季度一次。并附上巡检报表，内容至少包括：巡检时间、巡检人、巡检对象，巡检情况、处理情况，就巡检异常情况提出整改建议等。</w:t>
            </w:r>
          </w:p>
          <w:p>
            <w:pPr>
              <w:pStyle w:val="4"/>
              <w:spacing w:after="165"/>
              <w:ind w:firstLine="480"/>
              <w:jc w:val="both"/>
            </w:pPr>
            <w:r>
              <w:rPr>
                <w:rFonts w:ascii="宋体" w:hAnsi="宋体" w:eastAsia="宋体" w:cs="宋体"/>
                <w:sz w:val="22"/>
              </w:rPr>
              <w:t>(6)在服务期间，硬件设备出现故障后，10分钟响应。12小时内派人到现场进行故障处理。若24小时内处理不好，则负责提供备用设备。同时负责对故障设备进行维修以及后续的安装、调试等工作。由此产生的一切费用包含在此次报价内。</w:t>
            </w:r>
            <w:r>
              <w:rPr>
                <w:rFonts w:ascii="宋体" w:hAnsi="宋体" w:eastAsia="宋体" w:cs="宋体"/>
                <w:sz w:val="24"/>
              </w:rPr>
              <w:t>现场无法立即修复排除故障的，投标人提供维修方案及修复时间安排。若无法</w:t>
            </w:r>
          </w:p>
          <w:p>
            <w:pPr>
              <w:pStyle w:val="4"/>
              <w:spacing w:after="165"/>
              <w:ind w:firstLine="480"/>
              <w:jc w:val="both"/>
            </w:pPr>
            <w:r>
              <w:rPr>
                <w:rFonts w:ascii="宋体" w:hAnsi="宋体" w:eastAsia="宋体" w:cs="宋体"/>
                <w:sz w:val="24"/>
              </w:rPr>
              <w:t>(7)修复则免费提供其他软件或者替代品，不能影响院方的正常工作。</w:t>
            </w:r>
          </w:p>
          <w:p>
            <w:pPr>
              <w:pStyle w:val="4"/>
              <w:spacing w:after="165"/>
              <w:ind w:firstLine="480"/>
              <w:jc w:val="both"/>
            </w:pPr>
            <w:r>
              <w:rPr>
                <w:rFonts w:ascii="宋体" w:hAnsi="宋体" w:eastAsia="宋体" w:cs="宋体"/>
                <w:sz w:val="24"/>
              </w:rPr>
              <w:t>(8)维保合同期内，非人为因素和易损易耗件的正常更换外，必须保证 95％ 以上日期（以每年 365 天计算）能正常工作，如未能达到，应适当延长保修期。</w:t>
            </w:r>
          </w:p>
          <w:p>
            <w:pPr>
              <w:pStyle w:val="4"/>
              <w:spacing w:after="165"/>
              <w:ind w:firstLine="482"/>
              <w:jc w:val="both"/>
            </w:pPr>
            <w:r>
              <w:rPr>
                <w:rFonts w:ascii="宋体" w:hAnsi="宋体" w:eastAsia="宋体" w:cs="宋体"/>
                <w:b/>
                <w:sz w:val="24"/>
              </w:rPr>
              <w:t>5、付款方式</w:t>
            </w:r>
          </w:p>
          <w:p>
            <w:pPr>
              <w:pStyle w:val="4"/>
              <w:spacing w:after="165"/>
              <w:ind w:firstLine="480"/>
              <w:jc w:val="both"/>
            </w:pPr>
            <w:r>
              <w:rPr>
                <w:rFonts w:ascii="宋体" w:hAnsi="宋体" w:eastAsia="宋体" w:cs="宋体"/>
                <w:sz w:val="24"/>
              </w:rPr>
              <w:t>(1)</w:t>
            </w:r>
            <w:r>
              <w:rPr>
                <w:rFonts w:ascii="宋体" w:hAnsi="宋体" w:eastAsia="宋体" w:cs="宋体"/>
                <w:sz w:val="22"/>
              </w:rPr>
              <w:t>每年结算一次，共计三年。先服务后付款，服务时间满一年后凭本次维护的软、硬件和网络设备运行报告申请支付。运行报告至少包括：本年度各类故障解决次数，每次故障处理周期，故障处理结果，故障处理人；软件、硬件、网络升级次数、升级内容、升级结果、操作人等。</w:t>
            </w:r>
            <w:r>
              <w:rPr>
                <w:rFonts w:ascii="宋体" w:hAnsi="宋体" w:eastAsia="宋体" w:cs="宋体"/>
                <w:sz w:val="24"/>
              </w:rPr>
              <w:t>成交人须向采购人出具合法有效完整的完税发票及凭证资料后30个工作日内进行支付结算。</w:t>
            </w:r>
          </w:p>
          <w:p>
            <w:pPr>
              <w:pStyle w:val="4"/>
              <w:spacing w:after="165"/>
              <w:ind w:firstLine="480"/>
              <w:jc w:val="both"/>
            </w:pPr>
            <w:r>
              <w:rPr>
                <w:rFonts w:ascii="宋体" w:hAnsi="宋体" w:eastAsia="宋体" w:cs="宋体"/>
                <w:sz w:val="24"/>
              </w:rPr>
              <w:t>(2)如因乙方未取得甲方许可，私自接入甲方系统或进行操作给甲方造成损失或侵害，由此带来的甲方所有损失均由乙方承担。另：出现一次此类情况扣除三年总维护费的5%。</w:t>
            </w:r>
          </w:p>
          <w:p>
            <w:pPr>
              <w:pStyle w:val="4"/>
              <w:spacing w:after="165"/>
              <w:ind w:firstLine="480"/>
              <w:jc w:val="both"/>
            </w:pPr>
            <w:r>
              <w:rPr>
                <w:rFonts w:ascii="宋体" w:hAnsi="宋体" w:eastAsia="宋体" w:cs="宋体"/>
                <w:sz w:val="24"/>
              </w:rPr>
              <w:t>(3)由于乙方维护不及时或者维护中出现失误等情况给甲方造成的一切损失，由乙方全部承担。另：出现一次此类情况扣除当年三年总维护费的5%。</w:t>
            </w:r>
          </w:p>
        </w:tc>
      </w:tr>
    </w:tbl>
    <w:p>
      <w:pPr>
        <w:pStyle w:val="4"/>
      </w:pPr>
    </w:p>
    <w:p>
      <w:pPr>
        <w:pStyle w:val="4"/>
      </w:pPr>
      <w:r>
        <w:t>采购包3：</w:t>
      </w:r>
    </w:p>
    <w:p>
      <w:pPr>
        <w:pStyle w:val="4"/>
      </w:pPr>
    </w:p>
    <w:p>
      <w:pPr>
        <w:pStyle w:val="4"/>
      </w:pPr>
      <w:r>
        <w:t>标的名称：智能采血系统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20"/>
        <w:gridCol w:w="2021"/>
        <w:gridCol w:w="44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2"/>
              <w:jc w:val="left"/>
            </w:pPr>
            <w:r>
              <w:rPr>
                <w:rFonts w:ascii="宋体" w:hAnsi="宋体" w:eastAsia="宋体" w:cs="宋体"/>
                <w:b/>
                <w:sz w:val="24"/>
              </w:rPr>
              <w:t>1、系统配套的硬件：</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690"/>
              <w:gridCol w:w="1290"/>
              <w:gridCol w:w="450"/>
              <w:gridCol w:w="450"/>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序号</w:t>
                  </w:r>
                </w:p>
              </w:tc>
              <w:tc>
                <w:tcPr>
                  <w:tcW w:w="5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设备名称</w:t>
                  </w:r>
                </w:p>
              </w:tc>
              <w:tc>
                <w:tcPr>
                  <w:tcW w:w="6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color w:val="000000"/>
                      <w:sz w:val="24"/>
                    </w:rPr>
                    <w:t>品牌型号</w:t>
                  </w:r>
                </w:p>
              </w:tc>
              <w:tc>
                <w:tcPr>
                  <w:tcW w:w="3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color w:val="000000"/>
                      <w:sz w:val="24"/>
                    </w:rPr>
                    <w:t>承建商</w:t>
                  </w:r>
                </w:p>
              </w:tc>
              <w:tc>
                <w:tcPr>
                  <w:tcW w:w="22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数量</w:t>
                  </w:r>
                </w:p>
              </w:tc>
              <w:tc>
                <w:tcPr>
                  <w:tcW w:w="50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1</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采血管智能管理工作站</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珠海丰炎CG-600S</w:t>
                  </w:r>
                </w:p>
              </w:tc>
              <w:tc>
                <w:tcPr>
                  <w:tcW w:w="338"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珠海丰炎科技有限公司</w:t>
                  </w: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4台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2</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台式电脑主机</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3</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液晶显示器</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戴尔18.5寸</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4</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条码扫描仪</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霍尼韦尔7120</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5</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外置标签打印机</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珠海佳博GP-2120TF</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6</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工作站底桌</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4台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7</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取号机</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2台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读卡器</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2台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9</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无线叫号器</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10</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高清LED显示屏</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11</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等候区高清LED显示屏</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1台</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12</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标本采血桌</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8张</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13</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传输轨道</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8套</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14</w:t>
                  </w:r>
                </w:p>
              </w:tc>
              <w:tc>
                <w:tcPr>
                  <w:tcW w:w="58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采血窗口（含采血中心所有窗口玻璃隔断，患者隔断以及网络布置等）</w:t>
                  </w: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8块</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both"/>
                  </w:pPr>
                  <w:r>
                    <w:rPr>
                      <w:rFonts w:ascii="宋体" w:hAnsi="宋体" w:eastAsia="宋体" w:cs="宋体"/>
                      <w:sz w:val="24"/>
                    </w:rPr>
                    <w:t>窗口玻璃：每块长1.5米，高1.5米，钢化玻璃。</w:t>
                  </w:r>
                </w:p>
                <w:p>
                  <w:pPr>
                    <w:pStyle w:val="4"/>
                    <w:spacing w:after="12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4" w:type="dxa"/>
                  <w:vMerge w:val="continue"/>
                  <w:tcBorders>
                    <w:top w:val="nil"/>
                    <w:left w:val="single" w:color="000000" w:sz="4" w:space="0"/>
                    <w:bottom w:val="single" w:color="000000" w:sz="4" w:space="0"/>
                    <w:right w:val="single" w:color="000000" w:sz="4" w:space="0"/>
                  </w:tcBorders>
                </w:tcPr>
                <w:p/>
              </w:tc>
              <w:tc>
                <w:tcPr>
                  <w:tcW w:w="580" w:type="dxa"/>
                  <w:vMerge w:val="continue"/>
                  <w:tcBorders>
                    <w:top w:val="nil"/>
                    <w:left w:val="single" w:color="000000" w:sz="4" w:space="0"/>
                    <w:bottom w:val="single" w:color="000000" w:sz="4" w:space="0"/>
                    <w:right w:val="single" w:color="000000" w:sz="4" w:space="0"/>
                  </w:tcBorders>
                </w:tcPr>
                <w:p/>
              </w:tc>
              <w:tc>
                <w:tcPr>
                  <w:tcW w:w="6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珠海丰炎-丰炎定制</w:t>
                  </w:r>
                </w:p>
              </w:tc>
              <w:tc>
                <w:tcPr>
                  <w:tcW w:w="338" w:type="dxa"/>
                  <w:vMerge w:val="continue"/>
                  <w:tcBorders>
                    <w:top w:val="nil"/>
                    <w:left w:val="single" w:color="000000" w:sz="4" w:space="0"/>
                    <w:bottom w:val="single" w:color="000000" w:sz="4" w:space="0"/>
                    <w:right w:val="single" w:color="000000" w:sz="4" w:space="0"/>
                  </w:tcBorders>
                </w:tcPr>
                <w:p/>
              </w:tc>
              <w:tc>
                <w:tcPr>
                  <w:tcW w:w="22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9块</w:t>
                  </w:r>
                </w:p>
              </w:tc>
              <w:tc>
                <w:tcPr>
                  <w:tcW w:w="5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both"/>
                  </w:pPr>
                  <w:r>
                    <w:rPr>
                      <w:rFonts w:ascii="宋体" w:hAnsi="宋体" w:eastAsia="宋体" w:cs="宋体"/>
                      <w:sz w:val="24"/>
                    </w:rPr>
                    <w:t>患者隔断：每块长1.5米，高1.5米，塑钢和木质材料。</w:t>
                  </w:r>
                </w:p>
                <w:p>
                  <w:pPr>
                    <w:pStyle w:val="4"/>
                    <w:spacing w:after="120"/>
                    <w:jc w:val="center"/>
                  </w:pPr>
                </w:p>
              </w:tc>
            </w:tr>
          </w:tbl>
          <w:p>
            <w:pPr>
              <w:pStyle w:val="4"/>
              <w:ind w:firstLine="480"/>
              <w:jc w:val="both"/>
            </w:pPr>
          </w:p>
          <w:p>
            <w:pPr>
              <w:pStyle w:val="4"/>
              <w:ind w:firstLine="482"/>
              <w:jc w:val="left"/>
            </w:pPr>
            <w:r>
              <w:rPr>
                <w:rFonts w:ascii="宋体" w:hAnsi="宋体" w:eastAsia="宋体" w:cs="宋体"/>
                <w:b/>
                <w:sz w:val="24"/>
              </w:rPr>
              <w:t>2、需要维保的软件模块：</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930"/>
              <w:gridCol w:w="450"/>
              <w:gridCol w:w="524"/>
              <w:gridCol w:w="8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5" w:type="dxa"/>
                  <w:tcBorders>
                    <w:top w:val="single" w:color="000000" w:sz="4" w:space="0"/>
                    <w:left w:val="single" w:color="000000" w:sz="4" w:space="0"/>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序号</w:t>
                  </w:r>
                </w:p>
              </w:tc>
              <w:tc>
                <w:tcPr>
                  <w:tcW w:w="53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产品名称</w:t>
                  </w:r>
                </w:p>
              </w:tc>
              <w:tc>
                <w:tcPr>
                  <w:tcW w:w="432"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品牌</w:t>
                  </w:r>
                </w:p>
              </w:tc>
              <w:tc>
                <w:tcPr>
                  <w:tcW w:w="52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数量</w:t>
                  </w:r>
                </w:p>
              </w:tc>
              <w:tc>
                <w:tcPr>
                  <w:tcW w:w="82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承建商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53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center"/>
                  </w:pPr>
                  <w:r>
                    <w:rPr>
                      <w:rFonts w:ascii="宋体" w:hAnsi="宋体" w:eastAsia="宋体" w:cs="宋体"/>
                      <w:color w:val="000000"/>
                      <w:sz w:val="24"/>
                    </w:rPr>
                    <w:t>智能采血管理平台系统软件V4.2</w:t>
                  </w:r>
                </w:p>
              </w:tc>
              <w:tc>
                <w:tcPr>
                  <w:tcW w:w="43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w:t>
                  </w:r>
                </w:p>
              </w:tc>
              <w:tc>
                <w:tcPr>
                  <w:tcW w:w="52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4套</w:t>
                  </w:r>
                </w:p>
              </w:tc>
              <w:tc>
                <w:tcPr>
                  <w:tcW w:w="8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珠海丰炎科技有限公司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5"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533"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center"/>
                  </w:pPr>
                  <w:r>
                    <w:rPr>
                      <w:rFonts w:ascii="宋体" w:hAnsi="宋体" w:eastAsia="宋体" w:cs="宋体"/>
                      <w:color w:val="000000"/>
                      <w:sz w:val="24"/>
                    </w:rPr>
                    <w:t>采血管智能管理工作站控制软件V1.0</w:t>
                  </w:r>
                </w:p>
              </w:tc>
              <w:tc>
                <w:tcPr>
                  <w:tcW w:w="432"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w:t>
                  </w:r>
                </w:p>
              </w:tc>
              <w:tc>
                <w:tcPr>
                  <w:tcW w:w="524"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4套</w:t>
                  </w:r>
                </w:p>
              </w:tc>
              <w:tc>
                <w:tcPr>
                  <w:tcW w:w="8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珠海丰炎科技有限公司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5"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533" w:type="dxa"/>
                  <w:tcBorders>
                    <w:top w:val="nil"/>
                    <w:left w:val="nil"/>
                    <w:bottom w:val="nil"/>
                    <w:right w:val="single" w:color="000000" w:sz="4" w:space="0"/>
                  </w:tcBorders>
                  <w:tcMar>
                    <w:top w:w="0" w:type="dxa"/>
                    <w:left w:w="105" w:type="dxa"/>
                    <w:bottom w:w="0" w:type="dxa"/>
                    <w:right w:w="105" w:type="dxa"/>
                  </w:tcMar>
                  <w:vAlign w:val="top"/>
                </w:tcPr>
                <w:p>
                  <w:pPr>
                    <w:pStyle w:val="4"/>
                    <w:ind w:firstLine="480"/>
                    <w:jc w:val="both"/>
                  </w:pPr>
                  <w:r>
                    <w:rPr>
                      <w:rFonts w:ascii="宋体" w:hAnsi="宋体" w:eastAsia="宋体" w:cs="宋体"/>
                      <w:color w:val="000000"/>
                      <w:sz w:val="24"/>
                    </w:rPr>
                    <w:t>智能排队管理系统</w:t>
                  </w:r>
                </w:p>
              </w:tc>
              <w:tc>
                <w:tcPr>
                  <w:tcW w:w="432"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w:t>
                  </w:r>
                </w:p>
              </w:tc>
              <w:tc>
                <w:tcPr>
                  <w:tcW w:w="524"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2套</w:t>
                  </w:r>
                </w:p>
              </w:tc>
              <w:tc>
                <w:tcPr>
                  <w:tcW w:w="828"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珠海丰炎科技有限公司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2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5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center"/>
                  </w:pPr>
                  <w:r>
                    <w:rPr>
                      <w:rFonts w:ascii="宋体" w:hAnsi="宋体" w:eastAsia="宋体" w:cs="宋体"/>
                      <w:color w:val="000000"/>
                      <w:sz w:val="24"/>
                    </w:rPr>
                    <w:t>叫号管理系统</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w:t>
                  </w:r>
                </w:p>
              </w:tc>
              <w:tc>
                <w:tcPr>
                  <w:tcW w:w="5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2套</w:t>
                  </w:r>
                </w:p>
              </w:tc>
              <w:tc>
                <w:tcPr>
                  <w:tcW w:w="8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珠海丰炎科技有限公司</w:t>
                  </w:r>
                </w:p>
              </w:tc>
            </w:tr>
          </w:tbl>
          <w:p>
            <w:pPr>
              <w:pStyle w:val="4"/>
              <w:ind w:firstLine="720"/>
              <w:jc w:val="both"/>
            </w:pPr>
          </w:p>
          <w:p>
            <w:pPr>
              <w:pStyle w:val="4"/>
              <w:jc w:val="both"/>
            </w:pPr>
          </w:p>
          <w:p>
            <w:pPr>
              <w:pStyle w:val="4"/>
              <w:ind w:firstLine="720"/>
              <w:jc w:val="both"/>
            </w:pPr>
            <w:r>
              <w:rPr>
                <w:rFonts w:ascii="宋体" w:hAnsi="宋体" w:eastAsia="宋体" w:cs="宋体"/>
                <w:sz w:val="24"/>
              </w:rPr>
              <w:t>3</w:t>
            </w:r>
            <w:r>
              <w:rPr>
                <w:rFonts w:ascii="宋体" w:hAnsi="宋体" w:eastAsia="宋体" w:cs="宋体"/>
                <w:b/>
                <w:sz w:val="24"/>
              </w:rPr>
              <w:t>、维保内容：</w:t>
            </w:r>
          </w:p>
          <w:p>
            <w:pPr>
              <w:pStyle w:val="4"/>
              <w:ind w:firstLine="480"/>
              <w:jc w:val="both"/>
            </w:pPr>
            <w:r>
              <w:rPr>
                <w:rFonts w:ascii="宋体" w:hAnsi="宋体" w:eastAsia="宋体" w:cs="宋体"/>
                <w:sz w:val="24"/>
              </w:rPr>
              <w:t>（1）对上表中的软件进行日常维护，保证其正常运行。</w:t>
            </w:r>
          </w:p>
          <w:p>
            <w:pPr>
              <w:pStyle w:val="4"/>
              <w:ind w:firstLine="480"/>
              <w:jc w:val="both"/>
            </w:pPr>
            <w:r>
              <w:rPr>
                <w:rFonts w:ascii="宋体" w:hAnsi="宋体" w:eastAsia="宋体" w:cs="宋体"/>
                <w:sz w:val="24"/>
              </w:rPr>
              <w:t>（2）对医院在日常使用过程中，软件系统本身出现的BUG进行修复。</w:t>
            </w:r>
          </w:p>
          <w:p>
            <w:pPr>
              <w:pStyle w:val="4"/>
              <w:ind w:firstLine="480"/>
              <w:jc w:val="both"/>
            </w:pPr>
            <w:r>
              <w:rPr>
                <w:rFonts w:ascii="宋体" w:hAnsi="宋体" w:eastAsia="宋体" w:cs="宋体"/>
                <w:sz w:val="24"/>
              </w:rPr>
              <w:t>（3）对医院在业务运行、管理工作中提出的合理优化要求，进行软件的优化升级。</w:t>
            </w:r>
          </w:p>
          <w:p>
            <w:pPr>
              <w:pStyle w:val="4"/>
              <w:ind w:firstLine="480"/>
              <w:jc w:val="both"/>
            </w:pPr>
            <w:r>
              <w:rPr>
                <w:rFonts w:ascii="宋体" w:hAnsi="宋体" w:eastAsia="宋体" w:cs="宋体"/>
                <w:sz w:val="24"/>
              </w:rPr>
              <w:t>（4）因卫计、医保、人社、药监、疾控、财政等各级行政管理部门的政策性要求，导致现有软件模块功能不能满足要求，需进行相应软件模块功能的修改、完善。</w:t>
            </w:r>
          </w:p>
          <w:p>
            <w:pPr>
              <w:pStyle w:val="4"/>
              <w:ind w:firstLine="480"/>
              <w:jc w:val="left"/>
            </w:pPr>
            <w:r>
              <w:rPr>
                <w:rFonts w:ascii="宋体" w:hAnsi="宋体" w:eastAsia="宋体" w:cs="宋体"/>
                <w:sz w:val="24"/>
              </w:rPr>
              <w:t>（5）按照院方提供的接口标准，免费与院方集成平台对接。</w:t>
            </w:r>
          </w:p>
          <w:p>
            <w:pPr>
              <w:pStyle w:val="4"/>
              <w:ind w:firstLine="480"/>
              <w:jc w:val="left"/>
            </w:pPr>
            <w:r>
              <w:rPr>
                <w:rFonts w:ascii="宋体" w:hAnsi="宋体" w:eastAsia="宋体" w:cs="宋体"/>
                <w:sz w:val="24"/>
              </w:rPr>
              <w:t>（6）LED显示屏能按需播放宣传内容（如图片、文字、视频）</w:t>
            </w:r>
          </w:p>
          <w:p>
            <w:pPr>
              <w:pStyle w:val="4"/>
              <w:ind w:firstLine="723"/>
              <w:jc w:val="both"/>
            </w:pPr>
            <w:r>
              <w:rPr>
                <w:rFonts w:ascii="宋体" w:hAnsi="宋体" w:eastAsia="宋体" w:cs="宋体"/>
                <w:b/>
                <w:sz w:val="24"/>
              </w:rPr>
              <w:t>4、维保要求：</w:t>
            </w:r>
          </w:p>
          <w:p>
            <w:pPr>
              <w:pStyle w:val="4"/>
              <w:ind w:firstLine="482"/>
              <w:jc w:val="both"/>
            </w:pPr>
            <w:r>
              <w:rPr>
                <w:rFonts w:ascii="宋体" w:hAnsi="宋体" w:eastAsia="宋体" w:cs="宋体"/>
                <w:sz w:val="24"/>
              </w:rPr>
              <w:t>（1）在维保期间，针对以上应用软件的维护、更新等所产生的一切费用均包含在本次报价中。硬件出现故障，由院方负责维修和更换。若需要更换硬件，中标方负责拟定适用于智能采血系统的硬件相关参数供甲方参考。中标人负责因维修、更换硬件后所涉及到的各种软件、网络安装调试、数据库安装调试和可能涉及到的报表格式、大小、其他设置等后续工作，所产生的一切费用均包含在本次报价中。</w:t>
            </w:r>
          </w:p>
          <w:p>
            <w:pPr>
              <w:pStyle w:val="4"/>
              <w:ind w:firstLine="482"/>
              <w:jc w:val="both"/>
            </w:pPr>
            <w:r>
              <w:rPr>
                <w:rFonts w:ascii="宋体" w:hAnsi="宋体" w:eastAsia="宋体" w:cs="宋体"/>
                <w:sz w:val="24"/>
              </w:rPr>
              <w:t>（2）中标人要成立软件维保服务项目领导小组并制定工作方案，与院方取得联系成立软件维保服务项目联合工作组，建立双方维保工作台帐，对不能及时完成事项要说明原因。</w:t>
            </w:r>
          </w:p>
          <w:p>
            <w:pPr>
              <w:pStyle w:val="4"/>
              <w:ind w:firstLine="480"/>
              <w:jc w:val="both"/>
            </w:pPr>
            <w:r>
              <w:rPr>
                <w:rFonts w:ascii="宋体" w:hAnsi="宋体" w:eastAsia="宋体" w:cs="宋体"/>
                <w:sz w:val="24"/>
              </w:rPr>
              <w:t>（3）中标人要在符合信息化建设框架下能够充分尊重医务人员建议意见，及时修改工作程序，满足医院实际工作的需要。</w:t>
            </w:r>
          </w:p>
          <w:p>
            <w:pPr>
              <w:pStyle w:val="4"/>
              <w:ind w:firstLine="480"/>
              <w:jc w:val="both"/>
            </w:pPr>
            <w:r>
              <w:rPr>
                <w:rFonts w:ascii="宋体" w:hAnsi="宋体" w:eastAsia="宋体" w:cs="宋体"/>
                <w:sz w:val="24"/>
              </w:rPr>
              <w:t>（4）中标人要对软件维保服务项目进行全面梳理，及时了解和掌握医院工作人员对软件的熟悉和利用程度，必要时要到现场进行培训指导，让软件充分发挥其应有作用。对医院利用不充分甚至未利用的系统功能，中标人有责任以书面形式向医院提出。</w:t>
            </w:r>
          </w:p>
          <w:p>
            <w:pPr>
              <w:pStyle w:val="4"/>
              <w:ind w:firstLine="480"/>
              <w:jc w:val="both"/>
            </w:pPr>
            <w:r>
              <w:rPr>
                <w:rFonts w:ascii="宋体" w:hAnsi="宋体" w:eastAsia="宋体" w:cs="宋体"/>
                <w:sz w:val="24"/>
              </w:rPr>
              <w:t>（5）中标人要至少每季度提供一次软件维保服务项目工作报告，内容包括但不限于：培训、指导、商讨、修改、升级、更新、建议、要求、流程再造、设备接入、业务扩展（专指院内）等，以及医院提出的其他要求和落实情况等。</w:t>
            </w:r>
          </w:p>
          <w:p>
            <w:pPr>
              <w:pStyle w:val="4"/>
              <w:ind w:firstLine="480"/>
              <w:jc w:val="both"/>
            </w:pPr>
            <w:r>
              <w:rPr>
                <w:rFonts w:ascii="宋体" w:hAnsi="宋体" w:eastAsia="宋体" w:cs="宋体"/>
                <w:sz w:val="24"/>
              </w:rPr>
              <w:t>（6）国家新增加或修订政策、法律法规规章出台的所有相关信息，中标人有义务及时提供给院方。</w:t>
            </w:r>
          </w:p>
          <w:p>
            <w:pPr>
              <w:pStyle w:val="4"/>
              <w:ind w:firstLine="482"/>
              <w:jc w:val="both"/>
            </w:pPr>
            <w:r>
              <w:rPr>
                <w:rFonts w:ascii="宋体" w:hAnsi="宋体" w:eastAsia="宋体" w:cs="宋体"/>
                <w:sz w:val="24"/>
              </w:rPr>
              <w:t>（7）如院方信息化建设需要与第三方公司合作，中标人应积极配合完成由院方加盖公章提出的需求，以使医院信息化建设逐步完善，功能更加齐全</w:t>
            </w:r>
            <w:r>
              <w:rPr>
                <w:rFonts w:ascii="宋体" w:hAnsi="宋体" w:eastAsia="宋体" w:cs="宋体"/>
                <w:color w:val="FF0000"/>
                <w:sz w:val="24"/>
              </w:rPr>
              <w:t>。</w:t>
            </w:r>
          </w:p>
          <w:p>
            <w:pPr>
              <w:pStyle w:val="4"/>
              <w:ind w:firstLine="480"/>
              <w:jc w:val="both"/>
            </w:pPr>
            <w:r>
              <w:rPr>
                <w:rFonts w:ascii="宋体" w:hAnsi="宋体" w:eastAsia="宋体" w:cs="宋体"/>
                <w:sz w:val="24"/>
              </w:rPr>
              <w:t>（8）中标人应积极配合完成因院方接受检查、巡察、评审、复审而提出的信息化相关要求。</w:t>
            </w:r>
          </w:p>
          <w:p>
            <w:pPr>
              <w:pStyle w:val="4"/>
              <w:ind w:firstLine="482"/>
              <w:jc w:val="both"/>
            </w:pPr>
            <w:r>
              <w:rPr>
                <w:rFonts w:ascii="宋体" w:hAnsi="宋体" w:eastAsia="宋体" w:cs="宋体"/>
                <w:sz w:val="24"/>
              </w:rPr>
              <w:t>（9）任何情况下，中标人都不得采用任何技术手段或措施限制院方对已购项目的使用权。中标人应有可靠的技术措施和制度，保障项目实施及运行过程中中标人相关工作人员所获得的院方业务数据及患者、医务人员个人信息和诊疗信息等均永久保密，若有泄露中标人应承担相应的法律责任。</w:t>
            </w:r>
          </w:p>
          <w:p>
            <w:pPr>
              <w:pStyle w:val="4"/>
              <w:ind w:firstLine="723"/>
              <w:jc w:val="both"/>
            </w:pPr>
            <w:r>
              <w:rPr>
                <w:rFonts w:ascii="宋体" w:hAnsi="宋体" w:eastAsia="宋体" w:cs="宋体"/>
                <w:b/>
                <w:sz w:val="24"/>
              </w:rPr>
              <w:t>5、售后服务要求：</w:t>
            </w:r>
          </w:p>
          <w:p>
            <w:pPr>
              <w:pStyle w:val="4"/>
              <w:ind w:firstLine="723"/>
              <w:jc w:val="both"/>
            </w:pPr>
            <w:r>
              <w:rPr>
                <w:rFonts w:ascii="宋体" w:hAnsi="宋体" w:eastAsia="宋体" w:cs="宋体"/>
                <w:color w:val="000000"/>
                <w:sz w:val="24"/>
              </w:rPr>
              <w:t>（1）系统出现故障，投标人实行 7*24 服务制度（即一周 7 天，一天 24 小时），向客户提供全天候电话信息咨询和技术支持响应。</w:t>
            </w:r>
          </w:p>
          <w:p>
            <w:pPr>
              <w:pStyle w:val="4"/>
              <w:ind w:firstLine="723"/>
              <w:jc w:val="both"/>
            </w:pPr>
            <w:r>
              <w:rPr>
                <w:rFonts w:ascii="宋体" w:hAnsi="宋体" w:eastAsia="宋体" w:cs="宋体"/>
                <w:sz w:val="24"/>
              </w:rPr>
              <w:t>（2）非故障性的其他系统升级、优化、政策指令性等需求，应在政策指令要求的时限前完成，用户自身合理需求完成时间不超过1个月（以需求正式提交时间为准），系统BUG修正时间不超过2周（以BUG确认时间为准）。每月需派工程技术人员现场进行系统功能调整和实施，保障系统运行状态良好。</w:t>
            </w:r>
          </w:p>
          <w:p>
            <w:pPr>
              <w:pStyle w:val="4"/>
              <w:ind w:firstLine="723"/>
              <w:jc w:val="both"/>
            </w:pPr>
            <w:r>
              <w:rPr>
                <w:rFonts w:ascii="宋体" w:hAnsi="宋体" w:eastAsia="宋体" w:cs="宋体"/>
                <w:sz w:val="24"/>
              </w:rPr>
              <w:t>（3)投标人须指派专人负责与采购人联系售后服务事宜：提供人员姓名、职务、联系电话（含座机、手机等）。</w:t>
            </w:r>
          </w:p>
          <w:p>
            <w:pPr>
              <w:pStyle w:val="4"/>
              <w:ind w:firstLine="723"/>
              <w:jc w:val="both"/>
            </w:pPr>
            <w:r>
              <w:rPr>
                <w:rFonts w:ascii="宋体" w:hAnsi="宋体" w:eastAsia="宋体" w:cs="宋体"/>
                <w:sz w:val="24"/>
              </w:rPr>
              <w:t>（4）投标人在进行软件升级、整改、发布等操作时，必须提前以书面形式告之采购人。包括但不仅限于：操作人员、操作时间、操作内容、后续影响等内容。征得采购人同意后方可进行操作。</w:t>
            </w:r>
          </w:p>
          <w:p>
            <w:pPr>
              <w:pStyle w:val="4"/>
              <w:ind w:firstLine="723"/>
              <w:jc w:val="both"/>
            </w:pPr>
            <w:r>
              <w:rPr>
                <w:rFonts w:ascii="宋体" w:hAnsi="宋体" w:eastAsia="宋体" w:cs="宋体"/>
                <w:sz w:val="24"/>
              </w:rPr>
              <w:t>（5）定期巡检：包括软、硬件、网络的巡检、维护服务。定期巡检周期为：每季度一次。并附上巡检报表，内容至少包括：巡检时间、巡检人、巡检对象，巡检情况、处理情况，就巡检异常情况提出整改建议等，中标合同生效后一周内完成首次巡检。</w:t>
            </w:r>
          </w:p>
          <w:p>
            <w:pPr>
              <w:pStyle w:val="4"/>
              <w:ind w:firstLine="723"/>
              <w:jc w:val="both"/>
            </w:pPr>
            <w:r>
              <w:rPr>
                <w:rFonts w:ascii="宋体" w:hAnsi="宋体" w:eastAsia="宋体" w:cs="宋体"/>
                <w:sz w:val="24"/>
              </w:rPr>
              <w:t>（6）在服务期间，硬件设备出现故障后，10分钟响应。12小时内派人到现场进行故障处理。若24小时内处理不好，则负责提供备用设备。同时负责对故障设备进行维修以及后续的安装、调试等工作。由此产生的一切费用包含在此次报价内。</w:t>
            </w:r>
          </w:p>
          <w:p>
            <w:pPr>
              <w:pStyle w:val="4"/>
              <w:ind w:firstLine="723"/>
              <w:jc w:val="both"/>
            </w:pPr>
            <w:r>
              <w:rPr>
                <w:rFonts w:ascii="宋体" w:hAnsi="宋体" w:eastAsia="宋体" w:cs="宋体"/>
                <w:sz w:val="24"/>
              </w:rPr>
              <w:t>（7）现场无法立即修复排除故障的，投标人提供维修方案及修复时间安排。</w:t>
            </w:r>
          </w:p>
          <w:p>
            <w:pPr>
              <w:pStyle w:val="4"/>
              <w:ind w:firstLine="723"/>
              <w:jc w:val="both"/>
            </w:pPr>
            <w:r>
              <w:rPr>
                <w:rFonts w:ascii="宋体" w:hAnsi="宋体" w:eastAsia="宋体" w:cs="宋体"/>
                <w:sz w:val="24"/>
              </w:rPr>
              <w:t>（8）维保合同期内，非人为因素和易损易耗件的正常更换外，必须保证 95％ 以上日期（以每年 365 天计算）能正常工作，如未能达到，应适当延长保修期。</w:t>
            </w:r>
          </w:p>
          <w:p>
            <w:pPr>
              <w:pStyle w:val="4"/>
              <w:ind w:firstLine="482"/>
              <w:jc w:val="left"/>
            </w:pPr>
            <w:r>
              <w:rPr>
                <w:rFonts w:ascii="宋体" w:hAnsi="宋体" w:eastAsia="宋体" w:cs="宋体"/>
                <w:b/>
                <w:sz w:val="24"/>
              </w:rPr>
              <w:t>6、付款方式</w:t>
            </w:r>
          </w:p>
          <w:p>
            <w:pPr>
              <w:pStyle w:val="4"/>
              <w:ind w:firstLine="482"/>
              <w:jc w:val="left"/>
            </w:pPr>
            <w:r>
              <w:rPr>
                <w:rFonts w:ascii="宋体" w:hAnsi="宋体" w:eastAsia="宋体" w:cs="宋体"/>
                <w:sz w:val="22"/>
              </w:rPr>
              <w:t>（1）每年结算一次，共计三年。先服务后付款，服务时间满一年后凭本次维护的软、硬件和网络设备运行报告申请支付。运行报告至少包括：本年度各类故障解决次数，每次故障处理周期，故障处理结果，故障处理人；软件、硬件、网络升级次数、升级内容、升级结果、操作人等。中标供应商须向采购人出具合法有效完整的完税发票及凭证资料后30个工作日内进行支付结算。</w:t>
            </w:r>
          </w:p>
          <w:p>
            <w:pPr>
              <w:pStyle w:val="4"/>
              <w:ind w:firstLine="440"/>
              <w:jc w:val="left"/>
            </w:pPr>
            <w:r>
              <w:rPr>
                <w:rFonts w:ascii="宋体" w:hAnsi="宋体" w:eastAsia="宋体" w:cs="宋体"/>
                <w:sz w:val="22"/>
              </w:rPr>
              <w:t>（2）如因乙方未取得甲方许可，私自接入甲方系统或进行操作给甲方造成损失或侵害，由此带来的甲方所有损失均由乙方承担。另：出现一次此类情况扣除三年总维护费的5%。</w:t>
            </w:r>
          </w:p>
          <w:p>
            <w:pPr>
              <w:pStyle w:val="4"/>
              <w:ind w:firstLine="480"/>
              <w:jc w:val="left"/>
            </w:pPr>
            <w:r>
              <w:rPr>
                <w:rFonts w:ascii="宋体" w:hAnsi="宋体" w:eastAsia="宋体" w:cs="宋体"/>
                <w:sz w:val="24"/>
              </w:rPr>
              <w:t>（3）</w:t>
            </w:r>
            <w:r>
              <w:rPr>
                <w:rFonts w:ascii="宋体" w:hAnsi="宋体" w:eastAsia="宋体" w:cs="宋体"/>
                <w:sz w:val="22"/>
              </w:rPr>
              <w:t>由于乙方维护不及时或者维护中出现失误等情况给甲方造成的一切损失，由乙方全部承担。另：出现一次此类情况扣除三年总维护费的5%。</w:t>
            </w:r>
          </w:p>
          <w:p>
            <w:pPr>
              <w:pStyle w:val="4"/>
              <w:ind w:firstLine="440"/>
              <w:jc w:val="left"/>
            </w:pPr>
            <w:r>
              <w:rPr>
                <w:rFonts w:ascii="宋体" w:hAnsi="宋体" w:eastAsia="宋体" w:cs="宋体"/>
                <w:sz w:val="22"/>
              </w:rPr>
              <w:t>（4）非故障性的其他系统升级、优化、政策指令性等需求，应在政策指令要求的时限前完成，用户自身合理需求完成时间不超过1个月（以需求正式提交时间为准），系统BUG修正时间不超过2周（以BUG确认时间为准）。若超过此时间，则每超过10个工作日扣除三年总维护费用5%，扣除完所有维护费后，甲方有权利终止合同并追究中标方的法律责任。</w:t>
            </w:r>
          </w:p>
        </w:tc>
      </w:tr>
    </w:tbl>
    <w:p>
      <w:pPr>
        <w:pStyle w:val="4"/>
      </w:pPr>
    </w:p>
    <w:p>
      <w:pPr>
        <w:pStyle w:val="4"/>
      </w:pPr>
      <w:r>
        <w:t>采购包4：</w:t>
      </w:r>
    </w:p>
    <w:p>
      <w:pPr>
        <w:pStyle w:val="4"/>
      </w:pPr>
    </w:p>
    <w:p>
      <w:pPr>
        <w:pStyle w:val="4"/>
      </w:pPr>
      <w:r>
        <w:t>标的名称：重症临床信息系统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99"/>
        <w:gridCol w:w="1899"/>
        <w:gridCol w:w="47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spacing w:after="165"/>
              <w:ind w:firstLine="720"/>
              <w:jc w:val="both"/>
            </w:pPr>
            <w:r>
              <w:rPr>
                <w:rFonts w:ascii="Calibri" w:hAnsi="Calibri" w:eastAsia="Calibri" w:cs="Calibri"/>
                <w:sz w:val="24"/>
              </w:rPr>
              <w:t>1</w:t>
            </w:r>
            <w:r>
              <w:rPr>
                <w:rFonts w:ascii="宋体" w:hAnsi="宋体" w:eastAsia="宋体" w:cs="宋体"/>
                <w:sz w:val="24"/>
              </w:rPr>
              <w:t>、需要维保的硬件：</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450"/>
              <w:gridCol w:w="1289"/>
              <w:gridCol w:w="454"/>
              <w:gridCol w:w="930"/>
              <w:gridCol w:w="9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4"/>
                    </w:rPr>
                    <w:t>序号</w:t>
                  </w:r>
                </w:p>
              </w:tc>
              <w:tc>
                <w:tcPr>
                  <w:tcW w:w="59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4"/>
                    </w:rPr>
                    <w:t>设备名称</w:t>
                  </w:r>
                </w:p>
              </w:tc>
              <w:tc>
                <w:tcPr>
                  <w:tcW w:w="4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4"/>
                    </w:rPr>
                    <w:t>型号</w:t>
                  </w:r>
                </w:p>
              </w:tc>
              <w:tc>
                <w:tcPr>
                  <w:tcW w:w="26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4"/>
                    </w:rPr>
                    <w:t>数量</w:t>
                  </w:r>
                </w:p>
              </w:tc>
              <w:tc>
                <w:tcPr>
                  <w:tcW w:w="44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ind w:firstLine="480"/>
                    <w:jc w:val="both"/>
                  </w:pPr>
                  <w:r>
                    <w:rPr>
                      <w:rFonts w:ascii="宋体" w:hAnsi="宋体" w:eastAsia="宋体" w:cs="宋体"/>
                      <w:sz w:val="24"/>
                    </w:rPr>
                    <w:t>品牌</w:t>
                  </w:r>
                </w:p>
              </w:tc>
              <w:tc>
                <w:tcPr>
                  <w:tcW w:w="56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ind w:firstLine="480"/>
                    <w:jc w:val="both"/>
                  </w:pPr>
                  <w:r>
                    <w:rPr>
                      <w:rFonts w:ascii="宋体" w:hAnsi="宋体" w:eastAsia="宋体" w:cs="宋体"/>
                      <w:sz w:val="24"/>
                    </w:rPr>
                    <w:t>承建商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1</w:t>
                  </w:r>
                </w:p>
              </w:tc>
              <w:tc>
                <w:tcPr>
                  <w:tcW w:w="59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医疗设备数据采集器</w:t>
                  </w:r>
                </w:p>
              </w:tc>
              <w:tc>
                <w:tcPr>
                  <w:tcW w:w="4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V2.0</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55</w:t>
                  </w:r>
                  <w:r>
                    <w:rPr>
                      <w:rFonts w:ascii="宋体" w:hAnsi="宋体" w:eastAsia="宋体" w:cs="宋体"/>
                      <w:sz w:val="24"/>
                    </w:rPr>
                    <w:t>台</w:t>
                  </w:r>
                </w:p>
              </w:tc>
              <w:tc>
                <w:tcPr>
                  <w:tcW w:w="4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四川智康</w:t>
                  </w:r>
                </w:p>
              </w:tc>
              <w:tc>
                <w:tcPr>
                  <w:tcW w:w="566"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四川智康科技有限责任公司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2</w:t>
                  </w:r>
                </w:p>
              </w:tc>
              <w:tc>
                <w:tcPr>
                  <w:tcW w:w="59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远程会诊移动工作站</w:t>
                  </w:r>
                </w:p>
              </w:tc>
              <w:tc>
                <w:tcPr>
                  <w:tcW w:w="4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YC-001-10</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14</w:t>
                  </w:r>
                  <w:r>
                    <w:rPr>
                      <w:rFonts w:ascii="宋体" w:hAnsi="宋体" w:eastAsia="宋体" w:cs="宋体"/>
                      <w:sz w:val="24"/>
                    </w:rPr>
                    <w:t>台</w:t>
                  </w:r>
                </w:p>
              </w:tc>
              <w:tc>
                <w:tcPr>
                  <w:tcW w:w="4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深圳英利德</w:t>
                  </w:r>
                </w:p>
              </w:tc>
              <w:tc>
                <w:tcPr>
                  <w:tcW w:w="56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3</w:t>
                  </w:r>
                </w:p>
              </w:tc>
              <w:tc>
                <w:tcPr>
                  <w:tcW w:w="59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服务器</w:t>
                  </w:r>
                </w:p>
              </w:tc>
              <w:tc>
                <w:tcPr>
                  <w:tcW w:w="4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NF5280M4</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1</w:t>
                  </w:r>
                  <w:r>
                    <w:rPr>
                      <w:rFonts w:ascii="宋体" w:hAnsi="宋体" w:eastAsia="宋体" w:cs="宋体"/>
                      <w:sz w:val="24"/>
                    </w:rPr>
                    <w:t>台</w:t>
                  </w:r>
                </w:p>
              </w:tc>
              <w:tc>
                <w:tcPr>
                  <w:tcW w:w="4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浪潮</w:t>
                  </w:r>
                </w:p>
              </w:tc>
              <w:tc>
                <w:tcPr>
                  <w:tcW w:w="566" w:type="dxa"/>
                  <w:vMerge w:val="continue"/>
                  <w:tcBorders>
                    <w:top w:val="nil"/>
                    <w:left w:val="single" w:color="000000" w:sz="4" w:space="0"/>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4</w:t>
                  </w:r>
                </w:p>
              </w:tc>
              <w:tc>
                <w:tcPr>
                  <w:tcW w:w="59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打印机</w:t>
                  </w:r>
                </w:p>
              </w:tc>
              <w:tc>
                <w:tcPr>
                  <w:tcW w:w="4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智康定制</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Calibri" w:hAnsi="Calibri" w:eastAsia="Calibri" w:cs="Calibri"/>
                      <w:sz w:val="24"/>
                    </w:rPr>
                    <w:t>3</w:t>
                  </w:r>
                  <w:r>
                    <w:rPr>
                      <w:rFonts w:ascii="宋体" w:hAnsi="宋体" w:eastAsia="宋体" w:cs="宋体"/>
                      <w:sz w:val="24"/>
                    </w:rPr>
                    <w:t>台</w:t>
                  </w:r>
                </w:p>
              </w:tc>
              <w:tc>
                <w:tcPr>
                  <w:tcW w:w="4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center"/>
                  </w:pPr>
                  <w:r>
                    <w:rPr>
                      <w:rFonts w:ascii="宋体" w:hAnsi="宋体" w:eastAsia="宋体" w:cs="宋体"/>
                      <w:sz w:val="24"/>
                    </w:rPr>
                    <w:t>定制</w:t>
                  </w:r>
                </w:p>
              </w:tc>
              <w:tc>
                <w:tcPr>
                  <w:tcW w:w="566" w:type="dxa"/>
                  <w:vMerge w:val="continue"/>
                  <w:tcBorders>
                    <w:top w:val="nil"/>
                    <w:left w:val="single" w:color="000000" w:sz="4" w:space="0"/>
                    <w:bottom w:val="single" w:color="000000" w:sz="4" w:space="0"/>
                    <w:right w:val="single" w:color="000000" w:sz="4" w:space="0"/>
                  </w:tcBorders>
                </w:tcPr>
                <w:p/>
              </w:tc>
            </w:tr>
          </w:tbl>
          <w:p>
            <w:pPr>
              <w:pStyle w:val="4"/>
              <w:spacing w:after="165"/>
              <w:ind w:firstLine="720"/>
              <w:jc w:val="both"/>
            </w:pPr>
            <w:r>
              <w:rPr>
                <w:rFonts w:ascii="Calibri" w:hAnsi="Calibri" w:eastAsia="Calibri" w:cs="Calibri"/>
                <w:sz w:val="24"/>
              </w:rPr>
              <w:t>2</w:t>
            </w:r>
            <w:r>
              <w:rPr>
                <w:rFonts w:ascii="宋体" w:hAnsi="宋体" w:eastAsia="宋体" w:cs="宋体"/>
                <w:sz w:val="24"/>
              </w:rPr>
              <w:t>、需要维保的软件：</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930"/>
              <w:gridCol w:w="450"/>
              <w:gridCol w:w="450"/>
              <w:gridCol w:w="59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6" w:type="dxa"/>
                  <w:tcBorders>
                    <w:top w:val="single" w:color="000000" w:sz="4" w:space="0"/>
                    <w:left w:val="single" w:color="000000" w:sz="4" w:space="0"/>
                    <w:bottom w:val="nil"/>
                    <w:right w:val="single" w:color="000000" w:sz="4" w:space="0"/>
                  </w:tcBorders>
                  <w:tcMar>
                    <w:top w:w="0" w:type="dxa"/>
                    <w:left w:w="105" w:type="dxa"/>
                    <w:bottom w:w="0" w:type="dxa"/>
                    <w:right w:w="105" w:type="dxa"/>
                  </w:tcMar>
                  <w:vAlign w:val="top"/>
                </w:tcPr>
                <w:p>
                  <w:pPr>
                    <w:pStyle w:val="4"/>
                    <w:spacing w:after="165"/>
                    <w:jc w:val="both"/>
                  </w:pPr>
                  <w:r>
                    <w:rPr>
                      <w:rFonts w:ascii="宋体" w:hAnsi="宋体" w:eastAsia="宋体" w:cs="宋体"/>
                      <w:color w:val="000000"/>
                      <w:sz w:val="24"/>
                    </w:rPr>
                    <w:t>序号</w:t>
                  </w:r>
                </w:p>
              </w:tc>
              <w:tc>
                <w:tcPr>
                  <w:tcW w:w="859"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color w:val="000000"/>
                      <w:sz w:val="24"/>
                    </w:rPr>
                    <w:t>产品名称</w:t>
                  </w:r>
                </w:p>
              </w:tc>
              <w:tc>
                <w:tcPr>
                  <w:tcW w:w="36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color w:val="000000"/>
                      <w:sz w:val="24"/>
                    </w:rPr>
                    <w:t>品牌</w:t>
                  </w:r>
                </w:p>
              </w:tc>
              <w:tc>
                <w:tcPr>
                  <w:tcW w:w="425"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color w:val="000000"/>
                      <w:sz w:val="24"/>
                    </w:rPr>
                    <w:t>数量</w:t>
                  </w:r>
                </w:p>
              </w:tc>
              <w:tc>
                <w:tcPr>
                  <w:tcW w:w="59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color w:val="000000"/>
                      <w:sz w:val="24"/>
                    </w:rPr>
                    <w:t>承建商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9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color w:val="000000"/>
                      <w:sz w:val="24"/>
                    </w:rPr>
                    <w:t>1</w:t>
                  </w:r>
                </w:p>
              </w:tc>
              <w:tc>
                <w:tcPr>
                  <w:tcW w:w="85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after="165"/>
                    <w:ind w:firstLine="480"/>
                    <w:jc w:val="center"/>
                  </w:pPr>
                  <w:r>
                    <w:rPr>
                      <w:rFonts w:ascii="宋体" w:hAnsi="宋体" w:eastAsia="宋体" w:cs="宋体"/>
                      <w:color w:val="000000"/>
                      <w:sz w:val="24"/>
                    </w:rPr>
                    <w:t>综合重症临床信息管理系统V3.0</w:t>
                  </w:r>
                </w:p>
              </w:tc>
              <w:tc>
                <w:tcPr>
                  <w:tcW w:w="36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sz w:val="24"/>
                    </w:rPr>
                    <w:t>四川智康</w:t>
                  </w:r>
                </w:p>
              </w:tc>
              <w:tc>
                <w:tcPr>
                  <w:tcW w:w="4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color w:val="000000"/>
                      <w:sz w:val="24"/>
                    </w:rPr>
                    <w:t>55套</w:t>
                  </w:r>
                </w:p>
              </w:tc>
              <w:tc>
                <w:tcPr>
                  <w:tcW w:w="593" w:type="dxa"/>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spacing w:after="165"/>
                    <w:jc w:val="center"/>
                  </w:pPr>
                  <w:r>
                    <w:rPr>
                      <w:rFonts w:ascii="宋体" w:hAnsi="宋体" w:eastAsia="宋体" w:cs="宋体"/>
                      <w:sz w:val="24"/>
                    </w:rPr>
                    <w:t>四川智康科技有限责任公司</w:t>
                  </w:r>
                </w:p>
              </w:tc>
            </w:tr>
          </w:tbl>
          <w:p>
            <w:pPr>
              <w:pStyle w:val="4"/>
              <w:spacing w:after="165"/>
              <w:ind w:firstLine="480"/>
              <w:jc w:val="both"/>
            </w:pPr>
            <w:r>
              <w:rPr>
                <w:rFonts w:ascii="Calibri" w:hAnsi="Calibri" w:eastAsia="Calibri" w:cs="Calibri"/>
                <w:sz w:val="24"/>
              </w:rPr>
              <w:t>3</w:t>
            </w:r>
            <w:r>
              <w:rPr>
                <w:rFonts w:ascii="宋体" w:hAnsi="宋体" w:eastAsia="宋体" w:cs="宋体"/>
                <w:sz w:val="24"/>
              </w:rPr>
              <w:t>、维保内容：</w:t>
            </w:r>
          </w:p>
          <w:p>
            <w:pPr>
              <w:pStyle w:val="4"/>
              <w:spacing w:after="165"/>
              <w:ind w:firstLine="480"/>
              <w:jc w:val="both"/>
            </w:pPr>
            <w:r>
              <w:rPr>
                <w:rFonts w:ascii="宋体" w:hAnsi="宋体" w:eastAsia="宋体" w:cs="宋体"/>
                <w:sz w:val="24"/>
              </w:rPr>
              <w:t>（1）对上表中的软件、硬件进行日常维护，保证其正常运行。</w:t>
            </w:r>
          </w:p>
          <w:p>
            <w:pPr>
              <w:pStyle w:val="4"/>
              <w:spacing w:after="165"/>
              <w:ind w:firstLine="480"/>
              <w:jc w:val="both"/>
            </w:pPr>
            <w:r>
              <w:rPr>
                <w:rFonts w:ascii="宋体" w:hAnsi="宋体" w:eastAsia="宋体" w:cs="宋体"/>
                <w:sz w:val="24"/>
              </w:rPr>
              <w:t>（2）对医院在日常使用过程中，软件系统本身出现的BUG进行修复。</w:t>
            </w:r>
          </w:p>
          <w:p>
            <w:pPr>
              <w:pStyle w:val="4"/>
              <w:spacing w:after="165"/>
              <w:ind w:firstLine="480"/>
              <w:jc w:val="both"/>
            </w:pPr>
            <w:r>
              <w:rPr>
                <w:rFonts w:ascii="宋体" w:hAnsi="宋体" w:eastAsia="宋体" w:cs="宋体"/>
                <w:sz w:val="24"/>
              </w:rPr>
              <w:t>（3）对医院在业务运行、管理工作中提出的合理优化要求，进行软件的优化升级。</w:t>
            </w:r>
          </w:p>
          <w:p>
            <w:pPr>
              <w:pStyle w:val="4"/>
              <w:spacing w:after="165"/>
              <w:ind w:firstLine="480"/>
              <w:jc w:val="both"/>
            </w:pPr>
            <w:r>
              <w:rPr>
                <w:rFonts w:ascii="宋体" w:hAnsi="宋体" w:eastAsia="宋体" w:cs="宋体"/>
                <w:sz w:val="24"/>
              </w:rPr>
              <w:t>（4）因各级卫生行政管理部门的政策性要求，导致现有软件模块功能不能满足要求，需进行相应软件模块功能的修改、完善。</w:t>
            </w:r>
          </w:p>
          <w:p>
            <w:pPr>
              <w:pStyle w:val="4"/>
              <w:spacing w:after="165"/>
              <w:ind w:firstLine="720"/>
              <w:jc w:val="both"/>
            </w:pPr>
            <w:r>
              <w:rPr>
                <w:rFonts w:ascii="Calibri" w:hAnsi="Calibri" w:eastAsia="Calibri" w:cs="Calibri"/>
                <w:sz w:val="24"/>
              </w:rPr>
              <w:t>4</w:t>
            </w:r>
            <w:r>
              <w:rPr>
                <w:rFonts w:ascii="宋体" w:hAnsi="宋体" w:eastAsia="宋体" w:cs="宋体"/>
                <w:sz w:val="24"/>
              </w:rPr>
              <w:t>、维保要求：</w:t>
            </w:r>
          </w:p>
          <w:p>
            <w:pPr>
              <w:pStyle w:val="4"/>
              <w:spacing w:after="165"/>
              <w:ind w:firstLine="482"/>
              <w:jc w:val="both"/>
            </w:pPr>
            <w:r>
              <w:rPr>
                <w:rFonts w:ascii="宋体" w:hAnsi="宋体" w:eastAsia="宋体" w:cs="宋体"/>
                <w:sz w:val="24"/>
              </w:rPr>
              <w:t>（1）在维保期间，针对以上软件的维护、更新等工作，所产生的一切费用均包含在本次报价中。硬件出现故障，中标人负责维修、更换硬件以及后续所涉及到的各种软件安装调试、数据库安装调试和可能涉及到的报表格式、大小、其他设置等后续工作，所产生的一切费用均包含在本次报价中。</w:t>
            </w:r>
          </w:p>
          <w:p>
            <w:pPr>
              <w:pStyle w:val="4"/>
              <w:spacing w:after="165"/>
              <w:ind w:firstLine="480"/>
              <w:jc w:val="both"/>
            </w:pPr>
            <w:r>
              <w:rPr>
                <w:rFonts w:ascii="宋体" w:hAnsi="宋体" w:eastAsia="宋体" w:cs="宋体"/>
                <w:sz w:val="24"/>
              </w:rPr>
              <w:t>（2）中标人要成立软件维保服务项目领导小组并制定工作方案，与院方取得联系成立软件维保服务项目联合工作组，建立双方维保工作台帐，对不能及时完成事项要说明原因。</w:t>
            </w:r>
          </w:p>
          <w:p>
            <w:pPr>
              <w:pStyle w:val="4"/>
              <w:spacing w:after="165"/>
              <w:ind w:firstLine="480"/>
              <w:jc w:val="both"/>
            </w:pPr>
            <w:r>
              <w:rPr>
                <w:rFonts w:ascii="宋体" w:hAnsi="宋体" w:eastAsia="宋体" w:cs="宋体"/>
                <w:sz w:val="24"/>
              </w:rPr>
              <w:t>（3）中标人要在符合信息化建设框架下能够充分尊重医务人员建议意见，及时修改工作程序，满足医院实际工作的需要。</w:t>
            </w:r>
          </w:p>
          <w:p>
            <w:pPr>
              <w:pStyle w:val="4"/>
              <w:spacing w:after="165"/>
              <w:ind w:firstLine="480"/>
              <w:jc w:val="both"/>
            </w:pPr>
            <w:r>
              <w:rPr>
                <w:rFonts w:ascii="宋体" w:hAnsi="宋体" w:eastAsia="宋体" w:cs="宋体"/>
                <w:sz w:val="24"/>
              </w:rPr>
              <w:t>（4）中标人要对软件维保服务项目进行全面梳理，及时了解和掌握医院工作人员对软件的熟悉和利用程度，必要时要到现场进行培训指导，让软件充分发挥其应有作用。对医院利用不充分甚至未利用的系统功能，中标人有责任以书面形式向医院提出。</w:t>
            </w:r>
          </w:p>
          <w:p>
            <w:pPr>
              <w:pStyle w:val="4"/>
              <w:spacing w:after="165"/>
              <w:ind w:firstLine="480"/>
              <w:jc w:val="both"/>
            </w:pPr>
            <w:r>
              <w:rPr>
                <w:rFonts w:ascii="宋体" w:hAnsi="宋体" w:eastAsia="宋体" w:cs="宋体"/>
                <w:sz w:val="24"/>
              </w:rPr>
              <w:t>（5）中标人要至少每季度提供一次软件维保服务项目工作报告，内容包括但不限于：培训、指导、商讨、修改、升级、更新、建议、要求、流程再造、设备接入、业务扩展（专指院内）等，以及医院提出的其他要求和落实情况等。</w:t>
            </w:r>
          </w:p>
          <w:p>
            <w:pPr>
              <w:pStyle w:val="4"/>
              <w:spacing w:after="165"/>
              <w:ind w:firstLine="480"/>
              <w:jc w:val="both"/>
            </w:pPr>
            <w:r>
              <w:rPr>
                <w:rFonts w:ascii="宋体" w:hAnsi="宋体" w:eastAsia="宋体" w:cs="宋体"/>
                <w:sz w:val="24"/>
              </w:rPr>
              <w:t>（6）国家新增加或修订政策、法律法规规章出台的所有相关信息，中标人有义务及时提供给院方。</w:t>
            </w:r>
          </w:p>
          <w:p>
            <w:pPr>
              <w:pStyle w:val="4"/>
              <w:spacing w:after="165"/>
              <w:ind w:firstLine="482"/>
              <w:jc w:val="both"/>
            </w:pPr>
            <w:r>
              <w:rPr>
                <w:rFonts w:ascii="宋体" w:hAnsi="宋体" w:eastAsia="宋体" w:cs="宋体"/>
                <w:sz w:val="24"/>
              </w:rPr>
              <w:t>（7）如院方信息化建设需要与第三方公司合作，中标人应积极配合完成由院方加盖公章提出的需求，以使医院信息化建设逐步完善，功能更加齐全。</w:t>
            </w:r>
          </w:p>
          <w:p>
            <w:pPr>
              <w:pStyle w:val="4"/>
              <w:spacing w:after="165"/>
              <w:ind w:firstLine="480"/>
              <w:jc w:val="both"/>
            </w:pPr>
            <w:r>
              <w:rPr>
                <w:rFonts w:ascii="宋体" w:hAnsi="宋体" w:eastAsia="宋体" w:cs="宋体"/>
                <w:sz w:val="24"/>
              </w:rPr>
              <w:t>（8）中标人应积极配合完成因院方接受检查、巡察、评审、复审而提出的信息化相关要求。</w:t>
            </w:r>
          </w:p>
          <w:p>
            <w:pPr>
              <w:pStyle w:val="4"/>
              <w:spacing w:after="165"/>
              <w:ind w:firstLine="482"/>
              <w:jc w:val="both"/>
            </w:pPr>
            <w:r>
              <w:rPr>
                <w:rFonts w:ascii="宋体" w:hAnsi="宋体" w:eastAsia="宋体" w:cs="宋体"/>
                <w:sz w:val="24"/>
              </w:rPr>
              <w:t>（9）任何情况下，中标人都不得采用任何技术手段或措施限制院方对已购项目的使用权。中标人应有可靠的技术措施和制度，保障项目实施及运行过程中中标人相关工作人员所获得的院方业务数据及患者、医务人员个人信息和诊疗信息等均永久保密，若有泄露中标人应承担相应的法律责任。</w:t>
            </w:r>
          </w:p>
          <w:p>
            <w:pPr>
              <w:pStyle w:val="4"/>
              <w:spacing w:after="165"/>
              <w:ind w:firstLine="480"/>
              <w:jc w:val="both"/>
            </w:pPr>
            <w:r>
              <w:rPr>
                <w:rFonts w:ascii="Calibri" w:hAnsi="Calibri" w:eastAsia="Calibri" w:cs="Calibri"/>
                <w:sz w:val="24"/>
              </w:rPr>
              <w:t>5</w:t>
            </w:r>
            <w:r>
              <w:rPr>
                <w:rFonts w:ascii="宋体" w:hAnsi="宋体" w:eastAsia="宋体" w:cs="宋体"/>
                <w:sz w:val="24"/>
              </w:rPr>
              <w:t>、售后服务要求：</w:t>
            </w:r>
          </w:p>
          <w:p>
            <w:pPr>
              <w:pStyle w:val="4"/>
              <w:spacing w:after="165"/>
              <w:ind w:firstLine="480"/>
              <w:jc w:val="both"/>
            </w:pPr>
            <w:r>
              <w:rPr>
                <w:rFonts w:ascii="宋体" w:hAnsi="宋体" w:eastAsia="宋体" w:cs="宋体"/>
                <w:sz w:val="24"/>
              </w:rPr>
              <w:t>（1）系统出现故障，投标人实行7*24 服务制度（即一周 7 天，一天 24 小时），向客户提供全天候电话信息咨询和技术支持响应。</w:t>
            </w:r>
          </w:p>
          <w:p>
            <w:pPr>
              <w:pStyle w:val="4"/>
              <w:spacing w:after="165"/>
              <w:ind w:firstLine="480"/>
              <w:jc w:val="both"/>
            </w:pPr>
            <w:r>
              <w:rPr>
                <w:rFonts w:ascii="宋体" w:hAnsi="宋体" w:eastAsia="宋体" w:cs="宋体"/>
                <w:sz w:val="24"/>
              </w:rPr>
              <w:t>（2）非故障性的其他系统升级、优化、政策指令性等需求，应在政策指令要求的时限前完成，用户自身合理需求完成时间不超过1个月（以需求正式提交时间为准），系统BUG修正时间不超过2周（以BUG确认时间为准）。每月需派工程技术人员现场进行系统功能调整和实施，保障系统运行状态良好。</w:t>
            </w:r>
          </w:p>
          <w:p>
            <w:pPr>
              <w:pStyle w:val="4"/>
              <w:spacing w:after="165"/>
              <w:ind w:firstLine="480"/>
              <w:jc w:val="both"/>
            </w:pPr>
            <w:r>
              <w:rPr>
                <w:rFonts w:ascii="宋体" w:hAnsi="宋体" w:eastAsia="宋体" w:cs="宋体"/>
                <w:sz w:val="24"/>
              </w:rPr>
              <w:t>（3）投标人须指派专人负责与采购人联系售后服务事宜：提供人员姓名、职务、联系电话（含座机、手机等）。</w:t>
            </w:r>
          </w:p>
          <w:p>
            <w:pPr>
              <w:pStyle w:val="4"/>
              <w:spacing w:after="165"/>
              <w:ind w:firstLine="480"/>
              <w:jc w:val="both"/>
            </w:pPr>
            <w:r>
              <w:rPr>
                <w:rFonts w:ascii="宋体" w:hAnsi="宋体" w:eastAsia="宋体" w:cs="宋体"/>
                <w:sz w:val="24"/>
              </w:rPr>
              <w:t>（4）投标人在进行软件升级、整改、发布等操作时，必须提前以书面形式告之采购人。包括但不仅限于：操作人员、操作时间、操作内容、后续影响等内容。征得采购人同意后方可进行操作。</w:t>
            </w:r>
          </w:p>
          <w:p>
            <w:pPr>
              <w:pStyle w:val="4"/>
              <w:spacing w:after="165"/>
              <w:ind w:firstLine="480"/>
              <w:jc w:val="both"/>
            </w:pPr>
            <w:r>
              <w:rPr>
                <w:rFonts w:ascii="宋体" w:hAnsi="宋体" w:eastAsia="宋体" w:cs="宋体"/>
                <w:sz w:val="24"/>
              </w:rPr>
              <w:t>（5）定期巡检：包括软、硬件、网络的巡检、维护服务。定期巡检周期为：每季度一次。并附上巡检报表，内容至少包括：巡检时间、巡检人、巡检对象，巡检情况、处理情况，就巡检异常情况提出整改建议等。</w:t>
            </w:r>
          </w:p>
          <w:p>
            <w:pPr>
              <w:pStyle w:val="4"/>
              <w:spacing w:after="165"/>
              <w:ind w:firstLine="480"/>
              <w:jc w:val="both"/>
            </w:pPr>
            <w:r>
              <w:rPr>
                <w:rFonts w:ascii="宋体" w:hAnsi="宋体" w:eastAsia="宋体" w:cs="宋体"/>
                <w:sz w:val="24"/>
              </w:rPr>
              <w:t>（6）在服务期间，硬件设备出现故障后，30分钟响应。12小时内安排技术人员到现场进行故障处理。若24小时内处理不好，则负责提供备用设备。同时负责对故障设备进行维修以及后续的安装、调试等工作。由此产生的一切费用包含在此次报价内。</w:t>
            </w:r>
          </w:p>
          <w:p>
            <w:pPr>
              <w:pStyle w:val="4"/>
              <w:spacing w:after="165"/>
              <w:ind w:firstLine="480"/>
              <w:jc w:val="both"/>
            </w:pPr>
            <w:r>
              <w:rPr>
                <w:rFonts w:ascii="宋体" w:hAnsi="宋体" w:eastAsia="宋体" w:cs="宋体"/>
                <w:sz w:val="24"/>
              </w:rPr>
              <w:t>（7）现场无法立即修复排除故障的，投标人提供维修方案及修复时间安排。</w:t>
            </w:r>
          </w:p>
          <w:p>
            <w:pPr>
              <w:pStyle w:val="4"/>
              <w:spacing w:after="165"/>
              <w:ind w:firstLine="480"/>
              <w:jc w:val="both"/>
            </w:pPr>
            <w:r>
              <w:rPr>
                <w:rFonts w:ascii="宋体" w:hAnsi="宋体" w:eastAsia="宋体" w:cs="宋体"/>
                <w:sz w:val="24"/>
              </w:rPr>
              <w:t>（8）维保合同期内，非人为因素和易损易耗件的正常更换外，必须保证 95％ 以上日期（以每年 365 天计算）能正常工作，如未能达到，应适当延长保修期。</w:t>
            </w:r>
          </w:p>
          <w:p>
            <w:pPr>
              <w:pStyle w:val="4"/>
              <w:ind w:firstLine="482"/>
              <w:jc w:val="left"/>
            </w:pPr>
            <w:r>
              <w:rPr>
                <w:rFonts w:ascii="Calibri" w:hAnsi="Calibri" w:eastAsia="Calibri" w:cs="Calibri"/>
                <w:sz w:val="24"/>
              </w:rPr>
              <w:t>6</w:t>
            </w:r>
            <w:r>
              <w:rPr>
                <w:rFonts w:ascii="宋体" w:hAnsi="宋体" w:eastAsia="宋体" w:cs="宋体"/>
                <w:sz w:val="24"/>
              </w:rPr>
              <w:t>、付款方式</w:t>
            </w:r>
          </w:p>
          <w:p>
            <w:pPr>
              <w:pStyle w:val="4"/>
              <w:ind w:firstLine="440"/>
              <w:jc w:val="left"/>
            </w:pPr>
            <w:r>
              <w:rPr>
                <w:rFonts w:ascii="宋体" w:hAnsi="宋体" w:eastAsia="宋体" w:cs="宋体"/>
                <w:sz w:val="22"/>
              </w:rPr>
              <w:t>（1）每年结算一次，共计三年。先服务后付款，服务时间满一年后凭本次维护的软、硬件设备运行报告申请支付。运行报告至少包括：本年度各维护对象运行情况，本年度各类故障解决次数，每次故障处理周期，故障处理结果，故障处理人；软件、硬件升级次数、升级内容、升级结果、操作人等。中标供应商须向采购人出具合法有效完整的完税发票及凭证资料后30个工作日内进行支付结算。</w:t>
            </w:r>
          </w:p>
          <w:p>
            <w:pPr>
              <w:pStyle w:val="4"/>
              <w:ind w:firstLine="440"/>
              <w:jc w:val="left"/>
            </w:pPr>
            <w:r>
              <w:rPr>
                <w:rFonts w:ascii="宋体" w:hAnsi="宋体" w:eastAsia="宋体" w:cs="宋体"/>
                <w:sz w:val="22"/>
              </w:rPr>
              <w:t>（2）如因乙方未取得甲方许可，私自接入甲方系统或进行操作给甲方造成损失或侵害，由此带来的甲方所有损失均由乙方承担。另：出现一次此类情况扣除三年总维护费的5%。</w:t>
            </w:r>
          </w:p>
          <w:p>
            <w:pPr>
              <w:pStyle w:val="4"/>
              <w:ind w:firstLine="480"/>
              <w:jc w:val="left"/>
            </w:pPr>
            <w:r>
              <w:rPr>
                <w:rFonts w:ascii="宋体" w:hAnsi="宋体" w:eastAsia="宋体" w:cs="宋体"/>
                <w:sz w:val="24"/>
              </w:rPr>
              <w:t>（3）</w:t>
            </w:r>
            <w:r>
              <w:rPr>
                <w:rFonts w:ascii="宋体" w:hAnsi="宋体" w:eastAsia="宋体" w:cs="宋体"/>
                <w:sz w:val="22"/>
              </w:rPr>
              <w:t>由于乙方维护不及时或者维护中出现失误等情况给甲方造成的一切损失，由乙方全部承担。另：出现一次此类情况扣除三年总维护费的5%。</w:t>
            </w:r>
          </w:p>
          <w:p>
            <w:pPr>
              <w:pStyle w:val="4"/>
              <w:ind w:firstLine="440"/>
              <w:jc w:val="left"/>
            </w:pPr>
            <w:r>
              <w:rPr>
                <w:rFonts w:ascii="宋体" w:hAnsi="宋体" w:eastAsia="宋体" w:cs="宋体"/>
                <w:sz w:val="22"/>
              </w:rPr>
              <w:t>（4）非故障性的其他系统升级、优化、政策指令性等需求，应在政策指令要求的时限前完成，用户自身合理需求完成时间不超过1个月（以需求正式提交时间为准），系统BUG修正时间不超过2周（以BUG确认时间为准）。若超过此时间，则每超过10个工作日扣除三年总维护费用5%，扣除完所有维护费后，甲方有权利终止合同并追究中标方的法律责任。</w:t>
            </w:r>
          </w:p>
        </w:tc>
      </w:tr>
    </w:tbl>
    <w:p>
      <w:pPr>
        <w:pStyle w:val="4"/>
        <w:outlineLvl w:val="3"/>
      </w:pPr>
      <w:r>
        <w:rPr>
          <w:b/>
          <w:sz w:val="24"/>
        </w:rPr>
        <w:t>3.2.3人员配置要求</w:t>
      </w:r>
    </w:p>
    <w:p>
      <w:pPr>
        <w:pStyle w:val="4"/>
      </w:pPr>
    </w:p>
    <w:p>
      <w:pPr>
        <w:pStyle w:val="4"/>
      </w:pPr>
      <w:r>
        <w:t>采购包1：</w:t>
      </w:r>
    </w:p>
    <w:p>
      <w:pPr>
        <w:pStyle w:val="4"/>
      </w:pPr>
      <w:r>
        <w:t>/</w:t>
      </w:r>
    </w:p>
    <w:p>
      <w:pPr>
        <w:pStyle w:val="4"/>
      </w:pPr>
    </w:p>
    <w:p>
      <w:pPr>
        <w:pStyle w:val="4"/>
      </w:pPr>
      <w:r>
        <w:t>采购包2：</w:t>
      </w:r>
    </w:p>
    <w:p>
      <w:pPr>
        <w:pStyle w:val="4"/>
      </w:pPr>
      <w:r>
        <w:t>/</w:t>
      </w:r>
    </w:p>
    <w:p>
      <w:pPr>
        <w:pStyle w:val="4"/>
      </w:pPr>
    </w:p>
    <w:p>
      <w:pPr>
        <w:pStyle w:val="4"/>
      </w:pPr>
      <w:r>
        <w:t>采购包3：</w:t>
      </w:r>
    </w:p>
    <w:p>
      <w:pPr>
        <w:pStyle w:val="4"/>
      </w:pPr>
      <w:r>
        <w:t>/</w:t>
      </w:r>
    </w:p>
    <w:p>
      <w:pPr>
        <w:pStyle w:val="4"/>
      </w:pPr>
    </w:p>
    <w:p>
      <w:pPr>
        <w:pStyle w:val="4"/>
      </w:pPr>
      <w:r>
        <w:t>采购包4：</w:t>
      </w:r>
    </w:p>
    <w:p>
      <w:pPr>
        <w:pStyle w:val="4"/>
      </w:pPr>
      <w:r>
        <w:t>/</w:t>
      </w:r>
    </w:p>
    <w:p>
      <w:pPr>
        <w:pStyle w:val="4"/>
        <w:outlineLvl w:val="3"/>
      </w:pPr>
      <w:r>
        <w:rPr>
          <w:b/>
          <w:sz w:val="24"/>
        </w:rPr>
        <w:t>3.2.4设施设备配置要求</w:t>
      </w:r>
    </w:p>
    <w:p>
      <w:pPr>
        <w:pStyle w:val="4"/>
      </w:pPr>
    </w:p>
    <w:p>
      <w:pPr>
        <w:pStyle w:val="4"/>
      </w:pPr>
      <w:r>
        <w:t>采购包1：</w:t>
      </w:r>
    </w:p>
    <w:p>
      <w:pPr>
        <w:pStyle w:val="4"/>
      </w:pPr>
      <w:r>
        <w:t>/</w:t>
      </w:r>
    </w:p>
    <w:p>
      <w:pPr>
        <w:pStyle w:val="4"/>
      </w:pPr>
    </w:p>
    <w:p>
      <w:pPr>
        <w:pStyle w:val="4"/>
      </w:pPr>
      <w:r>
        <w:t>采购包2：</w:t>
      </w:r>
    </w:p>
    <w:p>
      <w:pPr>
        <w:pStyle w:val="4"/>
      </w:pPr>
      <w:r>
        <w:t>/</w:t>
      </w:r>
    </w:p>
    <w:p>
      <w:pPr>
        <w:pStyle w:val="4"/>
      </w:pPr>
    </w:p>
    <w:p>
      <w:pPr>
        <w:pStyle w:val="4"/>
      </w:pPr>
      <w:r>
        <w:t>采购包3：</w:t>
      </w:r>
    </w:p>
    <w:p>
      <w:pPr>
        <w:pStyle w:val="4"/>
      </w:pPr>
      <w:r>
        <w:t>/</w:t>
      </w:r>
    </w:p>
    <w:p>
      <w:pPr>
        <w:pStyle w:val="4"/>
      </w:pPr>
    </w:p>
    <w:p>
      <w:pPr>
        <w:pStyle w:val="4"/>
      </w:pPr>
      <w:r>
        <w:t>采购包4：</w:t>
      </w:r>
    </w:p>
    <w:p>
      <w:pPr>
        <w:pStyle w:val="4"/>
      </w:pPr>
      <w:r>
        <w:t>/</w:t>
      </w:r>
    </w:p>
    <w:p>
      <w:pPr>
        <w:pStyle w:val="4"/>
        <w:outlineLvl w:val="3"/>
      </w:pPr>
      <w:r>
        <w:rPr>
          <w:b/>
          <w:sz w:val="24"/>
        </w:rPr>
        <w:t>3.2.5其他要求</w:t>
      </w:r>
    </w:p>
    <w:p>
      <w:pPr>
        <w:pStyle w:val="4"/>
      </w:pPr>
    </w:p>
    <w:p>
      <w:pPr>
        <w:pStyle w:val="4"/>
      </w:pPr>
      <w:r>
        <w:t>采购包1：</w:t>
      </w:r>
    </w:p>
    <w:p>
      <w:pPr>
        <w:pStyle w:val="4"/>
      </w:pPr>
      <w:r>
        <w:t>/</w:t>
      </w:r>
    </w:p>
    <w:p>
      <w:pPr>
        <w:pStyle w:val="4"/>
      </w:pPr>
    </w:p>
    <w:p>
      <w:pPr>
        <w:pStyle w:val="4"/>
      </w:pPr>
      <w:r>
        <w:t>采购包2：</w:t>
      </w:r>
    </w:p>
    <w:p>
      <w:pPr>
        <w:pStyle w:val="4"/>
      </w:pPr>
      <w:r>
        <w:t>/</w:t>
      </w:r>
    </w:p>
    <w:p>
      <w:pPr>
        <w:pStyle w:val="4"/>
      </w:pPr>
    </w:p>
    <w:p>
      <w:pPr>
        <w:pStyle w:val="4"/>
      </w:pPr>
      <w:r>
        <w:t>采购包3：</w:t>
      </w:r>
    </w:p>
    <w:p>
      <w:pPr>
        <w:pStyle w:val="4"/>
      </w:pPr>
      <w:r>
        <w:t>/</w:t>
      </w:r>
    </w:p>
    <w:p>
      <w:pPr>
        <w:pStyle w:val="4"/>
      </w:pPr>
    </w:p>
    <w:p>
      <w:pPr>
        <w:pStyle w:val="4"/>
      </w:pPr>
      <w:r>
        <w:t>采购包4：</w:t>
      </w:r>
    </w:p>
    <w:p>
      <w:pPr>
        <w:pStyle w:val="4"/>
      </w:pPr>
      <w:r>
        <w:t>/</w:t>
      </w:r>
    </w:p>
    <w:p>
      <w:pPr>
        <w:pStyle w:val="4"/>
        <w:outlineLvl w:val="2"/>
      </w:pPr>
      <w:r>
        <w:rPr>
          <w:b/>
          <w:sz w:val="28"/>
        </w:rPr>
        <w:t>3.3商务要求</w:t>
      </w:r>
    </w:p>
    <w:p>
      <w:pPr>
        <w:pStyle w:val="4"/>
        <w:outlineLvl w:val="3"/>
      </w:pPr>
      <w:r>
        <w:rPr>
          <w:b/>
          <w:sz w:val="24"/>
        </w:rPr>
        <w:t>3.3.1服务期限</w:t>
      </w:r>
    </w:p>
    <w:p>
      <w:pPr>
        <w:pStyle w:val="4"/>
      </w:pPr>
    </w:p>
    <w:p>
      <w:pPr>
        <w:pStyle w:val="4"/>
      </w:pPr>
      <w:r>
        <w:t>采购包1：</w:t>
      </w:r>
    </w:p>
    <w:p>
      <w:pPr>
        <w:pStyle w:val="4"/>
      </w:pPr>
      <w:r>
        <w:t xml:space="preserve"> 自合同签订之日起1095日</w:t>
      </w:r>
    </w:p>
    <w:p>
      <w:pPr>
        <w:pStyle w:val="4"/>
      </w:pPr>
    </w:p>
    <w:p>
      <w:pPr>
        <w:pStyle w:val="4"/>
      </w:pPr>
      <w:r>
        <w:t>采购包2：</w:t>
      </w:r>
    </w:p>
    <w:p>
      <w:pPr>
        <w:pStyle w:val="4"/>
      </w:pPr>
      <w:r>
        <w:t xml:space="preserve"> 自合同签订之日起1095日</w:t>
      </w:r>
    </w:p>
    <w:p>
      <w:pPr>
        <w:pStyle w:val="4"/>
      </w:pPr>
    </w:p>
    <w:p>
      <w:pPr>
        <w:pStyle w:val="4"/>
      </w:pPr>
      <w:r>
        <w:t>采购包3：</w:t>
      </w:r>
    </w:p>
    <w:p>
      <w:pPr>
        <w:pStyle w:val="4"/>
      </w:pPr>
      <w:r>
        <w:t xml:space="preserve"> 自合同签订之日起1095日</w:t>
      </w:r>
    </w:p>
    <w:p>
      <w:pPr>
        <w:pStyle w:val="4"/>
      </w:pPr>
    </w:p>
    <w:p>
      <w:pPr>
        <w:pStyle w:val="4"/>
      </w:pPr>
      <w:r>
        <w:t>采购包4：</w:t>
      </w:r>
    </w:p>
    <w:p>
      <w:pPr>
        <w:pStyle w:val="4"/>
      </w:pPr>
      <w:r>
        <w:t xml:space="preserve"> 自合同签订之日起1095日</w:t>
      </w:r>
    </w:p>
    <w:p>
      <w:pPr>
        <w:pStyle w:val="4"/>
        <w:outlineLvl w:val="3"/>
      </w:pPr>
      <w:r>
        <w:rPr>
          <w:b/>
          <w:sz w:val="24"/>
        </w:rPr>
        <w:t>3.3.2服务地点</w:t>
      </w:r>
    </w:p>
    <w:p>
      <w:pPr>
        <w:pStyle w:val="4"/>
      </w:pPr>
    </w:p>
    <w:p>
      <w:pPr>
        <w:pStyle w:val="4"/>
      </w:pPr>
      <w:r>
        <w:t>采购包1：</w:t>
      </w:r>
    </w:p>
    <w:p>
      <w:pPr>
        <w:pStyle w:val="4"/>
      </w:pPr>
      <w:r>
        <w:t>资阳市第一人民医院仁德西路66号</w:t>
      </w:r>
    </w:p>
    <w:p>
      <w:pPr>
        <w:pStyle w:val="4"/>
      </w:pPr>
    </w:p>
    <w:p>
      <w:pPr>
        <w:pStyle w:val="4"/>
      </w:pPr>
      <w:r>
        <w:t>采购包2：</w:t>
      </w:r>
    </w:p>
    <w:p>
      <w:pPr>
        <w:pStyle w:val="4"/>
      </w:pPr>
      <w:r>
        <w:t>资阳市第一人民医院仁德西路66号</w:t>
      </w:r>
    </w:p>
    <w:p>
      <w:pPr>
        <w:pStyle w:val="4"/>
      </w:pPr>
    </w:p>
    <w:p>
      <w:pPr>
        <w:pStyle w:val="4"/>
      </w:pPr>
      <w:r>
        <w:t>采购包3：</w:t>
      </w:r>
    </w:p>
    <w:p>
      <w:pPr>
        <w:pStyle w:val="4"/>
      </w:pPr>
      <w:r>
        <w:t>资阳市第一人民医院仁德西路66号</w:t>
      </w:r>
    </w:p>
    <w:p>
      <w:pPr>
        <w:pStyle w:val="4"/>
      </w:pPr>
    </w:p>
    <w:p>
      <w:pPr>
        <w:pStyle w:val="4"/>
      </w:pPr>
      <w:r>
        <w:t>采购包4：</w:t>
      </w:r>
    </w:p>
    <w:p>
      <w:pPr>
        <w:pStyle w:val="4"/>
      </w:pPr>
      <w:r>
        <w:t>资阳市第一人民医院仁德西路66号</w:t>
      </w:r>
    </w:p>
    <w:p>
      <w:pPr>
        <w:pStyle w:val="4"/>
        <w:outlineLvl w:val="3"/>
      </w:pPr>
      <w:r>
        <w:rPr>
          <w:b/>
          <w:sz w:val="24"/>
        </w:rPr>
        <w:t>3.3.3考核（验收）标准和方法</w:t>
      </w:r>
    </w:p>
    <w:p>
      <w:pPr>
        <w:pStyle w:val="4"/>
      </w:pPr>
    </w:p>
    <w:p>
      <w:pPr>
        <w:pStyle w:val="4"/>
      </w:pPr>
      <w:r>
        <w:t>采购包1：</w:t>
      </w:r>
    </w:p>
    <w:p>
      <w:pPr>
        <w:pStyle w:val="4"/>
      </w:pPr>
      <w:r>
        <w:t>1）验收组织方式：自行验收 2）是否邀请本项目的其他供应商：否 3）是否邀请专家：否 4）是否邀请服务对象：否 5）是否邀请第三方检测机构：否 6）履约验收程序：一次性验收 7）履约验收时间： 供应商提出验收申请之日起30日内组织验收 8）验收组织的其他事项：委托第三方机构帮助验收并评价 9）技术履约验收内容：无 10）商务履约验收内容：无 11）履约验收标准： 本项目采购人及其委托的采购代理机构将严格按照政府采购相关法律法规、《财政部关于进一步加强政府采购需 求和履约验收管理的指导意见》（财库〔2016〕205号）以及《政府采购需求管理办法》（财库〔2021〕22号）的要求进行验收。 12）履约验收其他事项：无</w:t>
      </w:r>
    </w:p>
    <w:p>
      <w:pPr>
        <w:pStyle w:val="4"/>
      </w:pPr>
    </w:p>
    <w:p>
      <w:pPr>
        <w:pStyle w:val="4"/>
      </w:pPr>
      <w:r>
        <w:t>采购包2：</w:t>
      </w:r>
    </w:p>
    <w:p>
      <w:pPr>
        <w:pStyle w:val="4"/>
      </w:pPr>
      <w:r>
        <w:t>详见采购包1</w:t>
      </w:r>
    </w:p>
    <w:p>
      <w:pPr>
        <w:pStyle w:val="4"/>
      </w:pPr>
    </w:p>
    <w:p>
      <w:pPr>
        <w:pStyle w:val="4"/>
      </w:pPr>
      <w:r>
        <w:t>采购包3：</w:t>
      </w:r>
    </w:p>
    <w:p>
      <w:pPr>
        <w:pStyle w:val="4"/>
      </w:pPr>
      <w:r>
        <w:t>详见采购包1</w:t>
      </w:r>
    </w:p>
    <w:p>
      <w:pPr>
        <w:pStyle w:val="4"/>
      </w:pPr>
    </w:p>
    <w:p>
      <w:pPr>
        <w:pStyle w:val="4"/>
      </w:pPr>
      <w:r>
        <w:t>采购包4：</w:t>
      </w:r>
    </w:p>
    <w:p>
      <w:pPr>
        <w:pStyle w:val="4"/>
      </w:pPr>
      <w:r>
        <w:t>详见采购包1</w:t>
      </w:r>
    </w:p>
    <w:p>
      <w:pPr>
        <w:pStyle w:val="4"/>
        <w:outlineLvl w:val="3"/>
      </w:pPr>
      <w:r>
        <w:rPr>
          <w:b/>
          <w:sz w:val="24"/>
        </w:rPr>
        <w:t>3.3.4支付方式</w:t>
      </w:r>
    </w:p>
    <w:p>
      <w:pPr>
        <w:pStyle w:val="4"/>
      </w:pPr>
    </w:p>
    <w:p>
      <w:pPr>
        <w:pStyle w:val="4"/>
      </w:pPr>
      <w:r>
        <w:t>采购包1：</w:t>
      </w:r>
    </w:p>
    <w:p>
      <w:pPr>
        <w:pStyle w:val="4"/>
      </w:pPr>
      <w:r>
        <w:t>一次付清</w:t>
      </w:r>
    </w:p>
    <w:p>
      <w:pPr>
        <w:pStyle w:val="4"/>
      </w:pPr>
    </w:p>
    <w:p>
      <w:pPr>
        <w:pStyle w:val="4"/>
      </w:pPr>
      <w:r>
        <w:t>采购包2：</w:t>
      </w:r>
    </w:p>
    <w:p>
      <w:pPr>
        <w:pStyle w:val="4"/>
      </w:pPr>
      <w:r>
        <w:t>一次付清</w:t>
      </w:r>
    </w:p>
    <w:p>
      <w:pPr>
        <w:pStyle w:val="4"/>
      </w:pPr>
    </w:p>
    <w:p>
      <w:pPr>
        <w:pStyle w:val="4"/>
      </w:pPr>
      <w:r>
        <w:t>采购包3：</w:t>
      </w:r>
    </w:p>
    <w:p>
      <w:pPr>
        <w:pStyle w:val="4"/>
      </w:pPr>
      <w:r>
        <w:t>一次付清</w:t>
      </w:r>
    </w:p>
    <w:p>
      <w:pPr>
        <w:pStyle w:val="4"/>
      </w:pPr>
    </w:p>
    <w:p>
      <w:pPr>
        <w:pStyle w:val="4"/>
      </w:pPr>
      <w:r>
        <w:t>采购包4：</w:t>
      </w:r>
    </w:p>
    <w:p>
      <w:pPr>
        <w:pStyle w:val="4"/>
      </w:pPr>
      <w:r>
        <w:t>一次付清</w:t>
      </w:r>
    </w:p>
    <w:p>
      <w:pPr>
        <w:pStyle w:val="4"/>
        <w:outlineLvl w:val="3"/>
      </w:pPr>
      <w:r>
        <w:rPr>
          <w:b/>
          <w:sz w:val="24"/>
        </w:rPr>
        <w:t>3.3.5.支付约定</w:t>
      </w:r>
    </w:p>
    <w:p>
      <w:pPr>
        <w:pStyle w:val="4"/>
      </w:pPr>
    </w:p>
    <w:p>
      <w:pPr>
        <w:pStyle w:val="4"/>
      </w:pPr>
      <w:r>
        <w:t>采购包1： 付款条件说明： 详见服务要求 ，达到付款条件起 30 日内，支付合同总金额的 100.00%。</w:t>
      </w:r>
    </w:p>
    <w:p>
      <w:pPr>
        <w:pStyle w:val="4"/>
      </w:pPr>
    </w:p>
    <w:p>
      <w:pPr>
        <w:pStyle w:val="4"/>
      </w:pPr>
      <w:r>
        <w:t>采购包2： 付款条件说明： 详见服务要求 ，达到付款条件起 30 日内，支付合同总金额的 100.00%。</w:t>
      </w:r>
    </w:p>
    <w:p>
      <w:pPr>
        <w:pStyle w:val="4"/>
      </w:pPr>
    </w:p>
    <w:p>
      <w:pPr>
        <w:pStyle w:val="4"/>
      </w:pPr>
      <w:r>
        <w:t>采购包3： 付款条件说明： 详见服务要求 ，达到付款条件起 30 日内，支付合同总金额的 100.00%。</w:t>
      </w:r>
    </w:p>
    <w:p>
      <w:pPr>
        <w:pStyle w:val="4"/>
      </w:pPr>
    </w:p>
    <w:p>
      <w:pPr>
        <w:pStyle w:val="4"/>
      </w:pPr>
      <w:r>
        <w:t>采购包4： 付款条件说明： 详见服务要求 ，达到付款条件起 30 日内，支付合同总金额的 100.00%。</w:t>
      </w:r>
    </w:p>
    <w:p>
      <w:pPr>
        <w:pStyle w:val="4"/>
        <w:outlineLvl w:val="3"/>
      </w:pPr>
      <w:r>
        <w:rPr>
          <w:b/>
          <w:sz w:val="24"/>
        </w:rPr>
        <w:t>3.3.6违约责任与解决争议的方法</w:t>
      </w:r>
    </w:p>
    <w:p>
      <w:pPr>
        <w:pStyle w:val="4"/>
      </w:pPr>
    </w:p>
    <w:p>
      <w:pPr>
        <w:pStyle w:val="4"/>
      </w:pPr>
      <w:r>
        <w:t>采购包1：</w:t>
      </w:r>
    </w:p>
    <w:p>
      <w:pPr>
        <w:pStyle w:val="4"/>
      </w:pPr>
      <w:r>
        <w:t>详见合同</w:t>
      </w:r>
    </w:p>
    <w:p>
      <w:pPr>
        <w:pStyle w:val="4"/>
      </w:pPr>
    </w:p>
    <w:p>
      <w:pPr>
        <w:pStyle w:val="4"/>
      </w:pPr>
      <w:r>
        <w:t>采购包2：</w:t>
      </w:r>
    </w:p>
    <w:p>
      <w:pPr>
        <w:pStyle w:val="4"/>
      </w:pPr>
      <w:r>
        <w:t>详见合同</w:t>
      </w:r>
    </w:p>
    <w:p>
      <w:pPr>
        <w:pStyle w:val="4"/>
      </w:pPr>
    </w:p>
    <w:p>
      <w:pPr>
        <w:pStyle w:val="4"/>
      </w:pPr>
      <w:r>
        <w:t>采购包3：</w:t>
      </w:r>
    </w:p>
    <w:p>
      <w:pPr>
        <w:pStyle w:val="4"/>
      </w:pPr>
      <w:r>
        <w:t>详见合同</w:t>
      </w:r>
    </w:p>
    <w:p>
      <w:pPr>
        <w:pStyle w:val="4"/>
      </w:pPr>
    </w:p>
    <w:p>
      <w:pPr>
        <w:pStyle w:val="4"/>
      </w:pPr>
      <w:r>
        <w:t>采购包4：</w:t>
      </w:r>
    </w:p>
    <w:p>
      <w:pPr>
        <w:pStyle w:val="4"/>
      </w:pPr>
      <w:r>
        <w:t>详见合同</w:t>
      </w:r>
    </w:p>
    <w:p>
      <w:pPr>
        <w:pStyle w:val="4"/>
        <w:jc w:val="left"/>
        <w:outlineLvl w:val="2"/>
      </w:pPr>
      <w:r>
        <w:rPr>
          <w:b/>
          <w:sz w:val="28"/>
        </w:rPr>
        <w:t>3.4其他要求</w:t>
      </w:r>
    </w:p>
    <w:p>
      <w:pPr>
        <w:pStyle w:val="4"/>
      </w:pPr>
      <w:r>
        <w:t>服务期限、支付方式和支付约定详见3.2.2服务要求。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YTU4YmU2YmE1N2IyMGYzZDZjYmNiODFiZjhlNDkifQ=="/>
  </w:docVars>
  <w:rsids>
    <w:rsidRoot w:val="00000000"/>
    <w:rsid w:val="09767600"/>
    <w:rsid w:val="557A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2024-01-25T01:17:42Z</dcterms:created>
  <dc:creator>Administrator</dc:creator>
  <cp:lastModifiedBy>雨寒</cp:lastModifiedBy>
  <dcterms:modified xsi:type="dcterms:W3CDTF">2024-01-25T01:19:18Z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44739413A82E4D1F81EEC5F338344D89_12</vt:lpwstr>
  </property>
</Properties>
</file>