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440" w:lineRule="exact"/>
        <w:jc w:val="left"/>
        <w:textAlignment w:val="auto"/>
        <w:rPr>
          <w:rFonts w:hint="eastAsia" w:ascii="宋体" w:hAnsi="宋体"/>
          <w:b/>
          <w:bCs/>
          <w:color w:val="auto"/>
          <w:sz w:val="24"/>
          <w:szCs w:val="24"/>
        </w:rPr>
      </w:pPr>
      <w:bookmarkStart w:id="0" w:name="_GoBack"/>
      <w:bookmarkEnd w:id="0"/>
      <w:r>
        <w:rPr>
          <w:rFonts w:hint="eastAsia" w:ascii="宋体" w:hAnsi="宋体" w:eastAsia="宋体" w:cs="宋体"/>
          <w:b/>
          <w:bCs/>
          <w:color w:val="auto"/>
          <w:sz w:val="24"/>
          <w:szCs w:val="24"/>
          <w:highlight w:val="none"/>
          <w:lang w:val="en-US" w:eastAsia="zh-CN"/>
        </w:rPr>
        <w:t>★</w:t>
      </w:r>
      <w:r>
        <w:rPr>
          <w:rFonts w:hint="eastAsia" w:ascii="仿宋" w:hAnsi="仿宋" w:eastAsia="仿宋" w:cs="仿宋"/>
          <w:b/>
          <w:bCs/>
          <w:color w:val="auto"/>
          <w:sz w:val="24"/>
          <w:szCs w:val="24"/>
          <w:highlight w:val="none"/>
          <w:lang w:val="en-US" w:eastAsia="zh-CN"/>
        </w:rPr>
        <w:t>本项目综合参数明细表如下：</w:t>
      </w:r>
    </w:p>
    <w:p>
      <w:pPr>
        <w:spacing w:line="360" w:lineRule="auto"/>
        <w:rPr>
          <w:rFonts w:hint="eastAsia" w:ascii="宋体" w:hAnsi="宋体" w:eastAsia="宋体"/>
          <w:b/>
          <w:bCs/>
          <w:color w:val="auto"/>
          <w:sz w:val="24"/>
          <w:szCs w:val="24"/>
          <w:lang w:eastAsia="zh-CN"/>
        </w:rPr>
      </w:pPr>
      <w:r>
        <w:rPr>
          <w:rFonts w:hint="eastAsia" w:ascii="宋体" w:hAnsi="宋体"/>
          <w:b/>
          <w:bCs/>
          <w:color w:val="auto"/>
          <w:sz w:val="24"/>
          <w:szCs w:val="24"/>
        </w:rPr>
        <w:t>1、电梯</w:t>
      </w:r>
      <w:r>
        <w:rPr>
          <w:rFonts w:hint="eastAsia" w:ascii="宋体" w:hAnsi="宋体"/>
          <w:b/>
          <w:bCs/>
          <w:color w:val="auto"/>
          <w:sz w:val="24"/>
          <w:szCs w:val="24"/>
          <w:lang w:eastAsia="zh-CN"/>
        </w:rPr>
        <w:t>设备</w:t>
      </w:r>
    </w:p>
    <w:tbl>
      <w:tblPr>
        <w:tblStyle w:val="4"/>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2222"/>
        <w:gridCol w:w="5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3880" w:type="dxa"/>
            <w:gridSpan w:val="2"/>
            <w:noWrap w:val="0"/>
            <w:vAlign w:val="center"/>
          </w:tcPr>
          <w:p>
            <w:pPr>
              <w:widowControl/>
              <w:jc w:val="center"/>
              <w:rPr>
                <w:rFonts w:ascii="宋体" w:hAnsi="宋体"/>
                <w:b/>
                <w:bCs/>
                <w:color w:val="auto"/>
                <w:kern w:val="0"/>
                <w:sz w:val="24"/>
              </w:rPr>
            </w:pPr>
            <w:r>
              <w:rPr>
                <w:rFonts w:hint="eastAsia" w:ascii="宋体" w:hAnsi="宋体"/>
                <w:b/>
                <w:bCs/>
                <w:color w:val="auto"/>
                <w:kern w:val="0"/>
                <w:sz w:val="24"/>
              </w:rPr>
              <w:t>类别</w:t>
            </w:r>
          </w:p>
        </w:tc>
        <w:tc>
          <w:tcPr>
            <w:tcW w:w="5334" w:type="dxa"/>
            <w:noWrap w:val="0"/>
            <w:vAlign w:val="center"/>
          </w:tcPr>
          <w:p>
            <w:pPr>
              <w:widowControl/>
              <w:jc w:val="center"/>
              <w:rPr>
                <w:rFonts w:ascii="宋体" w:hAnsi="宋体"/>
                <w:b/>
                <w:bCs/>
                <w:color w:val="auto"/>
                <w:kern w:val="0"/>
                <w:sz w:val="24"/>
              </w:rPr>
            </w:pPr>
            <w:r>
              <w:rPr>
                <w:rFonts w:hint="eastAsia" w:ascii="宋体" w:hAnsi="宋体"/>
                <w:b/>
                <w:bCs/>
                <w:color w:val="auto"/>
                <w:kern w:val="0"/>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80" w:type="dxa"/>
            <w:gridSpan w:val="2"/>
            <w:noWrap w:val="0"/>
            <w:vAlign w:val="center"/>
          </w:tcPr>
          <w:p>
            <w:pPr>
              <w:widowControl/>
              <w:jc w:val="center"/>
              <w:rPr>
                <w:rFonts w:ascii="宋体" w:hAnsi="宋体"/>
                <w:color w:val="auto"/>
                <w:kern w:val="0"/>
                <w:sz w:val="24"/>
              </w:rPr>
            </w:pPr>
            <w:r>
              <w:rPr>
                <w:rFonts w:hint="eastAsia" w:ascii="宋体" w:hAnsi="宋体"/>
                <w:color w:val="auto"/>
                <w:kern w:val="0"/>
                <w:sz w:val="24"/>
              </w:rPr>
              <w:t>载重（Kg）</w:t>
            </w:r>
          </w:p>
        </w:tc>
        <w:tc>
          <w:tcPr>
            <w:tcW w:w="5334" w:type="dxa"/>
            <w:noWrap w:val="0"/>
            <w:vAlign w:val="center"/>
          </w:tcPr>
          <w:p>
            <w:pPr>
              <w:widowControl/>
              <w:jc w:val="center"/>
              <w:rPr>
                <w:rFonts w:hint="default" w:ascii="宋体" w:hAnsi="宋体" w:eastAsia="宋体"/>
                <w:color w:val="auto"/>
                <w:kern w:val="0"/>
                <w:sz w:val="24"/>
                <w:lang w:val="en-US" w:eastAsia="zh-CN"/>
              </w:rPr>
            </w:pPr>
            <w:r>
              <w:rPr>
                <w:rFonts w:hint="eastAsia" w:ascii="宋体" w:hAnsi="宋体"/>
                <w:color w:val="auto"/>
                <w:kern w:val="0"/>
                <w:sz w:val="24"/>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80" w:type="dxa"/>
            <w:gridSpan w:val="2"/>
            <w:noWrap w:val="0"/>
            <w:vAlign w:val="center"/>
          </w:tcPr>
          <w:p>
            <w:pPr>
              <w:widowControl/>
              <w:jc w:val="center"/>
              <w:rPr>
                <w:rFonts w:hint="eastAsia" w:ascii="宋体" w:hAnsi="宋体" w:eastAsia="宋体"/>
                <w:color w:val="auto"/>
                <w:kern w:val="0"/>
                <w:sz w:val="24"/>
                <w:lang w:val="en-US" w:eastAsia="zh-CN"/>
              </w:rPr>
            </w:pPr>
            <w:r>
              <w:rPr>
                <w:rFonts w:hint="eastAsia" w:ascii="宋体" w:hAnsi="宋体"/>
                <w:color w:val="auto"/>
                <w:kern w:val="0"/>
                <w:sz w:val="24"/>
                <w:lang w:val="en-US" w:eastAsia="zh-CN"/>
              </w:rPr>
              <w:t>层站门</w:t>
            </w:r>
          </w:p>
        </w:tc>
        <w:tc>
          <w:tcPr>
            <w:tcW w:w="5334" w:type="dxa"/>
            <w:noWrap w:val="0"/>
            <w:vAlign w:val="center"/>
          </w:tcPr>
          <w:p>
            <w:pPr>
              <w:widowControl/>
              <w:jc w:val="center"/>
              <w:rPr>
                <w:rFonts w:hint="default" w:ascii="宋体" w:hAnsi="宋体" w:eastAsia="宋体"/>
                <w:color w:val="auto"/>
                <w:kern w:val="0"/>
                <w:sz w:val="24"/>
                <w:lang w:val="en-US" w:eastAsia="zh-CN"/>
              </w:rPr>
            </w:pPr>
            <w:r>
              <w:rPr>
                <w:rFonts w:hint="eastAsia" w:ascii="宋体" w:hAnsi="宋体"/>
                <w:color w:val="auto"/>
                <w:kern w:val="0"/>
                <w:sz w:val="24"/>
                <w:lang w:val="en-US" w:eastAsia="zh-CN"/>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80" w:type="dxa"/>
            <w:gridSpan w:val="2"/>
            <w:noWrap w:val="0"/>
            <w:vAlign w:val="center"/>
          </w:tcPr>
          <w:p>
            <w:pPr>
              <w:widowControl/>
              <w:jc w:val="center"/>
              <w:rPr>
                <w:rFonts w:hint="default" w:ascii="宋体" w:hAnsi="宋体" w:eastAsia="宋体"/>
                <w:color w:val="auto"/>
                <w:kern w:val="0"/>
                <w:sz w:val="24"/>
                <w:lang w:val="en-US" w:eastAsia="zh-CN"/>
              </w:rPr>
            </w:pPr>
            <w:r>
              <w:rPr>
                <w:rFonts w:hint="eastAsia" w:ascii="宋体" w:hAnsi="宋体"/>
                <w:color w:val="auto"/>
                <w:kern w:val="0"/>
                <w:sz w:val="24"/>
                <w:lang w:eastAsia="zh-CN"/>
              </w:rPr>
              <w:t>层高</w:t>
            </w:r>
            <w:r>
              <w:rPr>
                <w:rFonts w:hint="eastAsia" w:ascii="宋体" w:hAnsi="宋体"/>
                <w:color w:val="auto"/>
                <w:kern w:val="0"/>
                <w:sz w:val="24"/>
                <w:lang w:val="en-US" w:eastAsia="zh-CN"/>
              </w:rPr>
              <w:t>mm</w:t>
            </w:r>
          </w:p>
        </w:tc>
        <w:tc>
          <w:tcPr>
            <w:tcW w:w="5334" w:type="dxa"/>
            <w:noWrap w:val="0"/>
            <w:vAlign w:val="center"/>
          </w:tcPr>
          <w:p>
            <w:pPr>
              <w:widowControl/>
              <w:jc w:val="center"/>
              <w:rPr>
                <w:rFonts w:hint="default" w:ascii="宋体" w:hAnsi="宋体"/>
                <w:color w:val="auto"/>
                <w:kern w:val="0"/>
                <w:sz w:val="24"/>
                <w:lang w:val="en-US" w:eastAsia="zh-CN"/>
              </w:rPr>
            </w:pPr>
            <w:r>
              <w:rPr>
                <w:rFonts w:hint="eastAsia" w:ascii="宋体" w:hAnsi="宋体"/>
                <w:color w:val="auto"/>
                <w:kern w:val="0"/>
                <w:sz w:val="24"/>
                <w:lang w:val="en-US" w:eastAsia="zh-CN"/>
              </w:rPr>
              <w:t>1F:4500,2F:4200,3F、4F、5F:3600,6F:4500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80" w:type="dxa"/>
            <w:gridSpan w:val="2"/>
            <w:noWrap w:val="0"/>
            <w:vAlign w:val="center"/>
          </w:tcPr>
          <w:p>
            <w:pPr>
              <w:widowControl/>
              <w:jc w:val="center"/>
              <w:rPr>
                <w:rFonts w:ascii="宋体" w:hAnsi="宋体"/>
                <w:color w:val="auto"/>
                <w:kern w:val="0"/>
                <w:sz w:val="24"/>
              </w:rPr>
            </w:pPr>
            <w:r>
              <w:rPr>
                <w:rFonts w:hint="eastAsia" w:ascii="宋体" w:hAnsi="宋体"/>
                <w:color w:val="auto"/>
                <w:kern w:val="0"/>
                <w:sz w:val="24"/>
              </w:rPr>
              <w:t>速度（m/s）</w:t>
            </w:r>
          </w:p>
        </w:tc>
        <w:tc>
          <w:tcPr>
            <w:tcW w:w="5334" w:type="dxa"/>
            <w:noWrap w:val="0"/>
            <w:vAlign w:val="center"/>
          </w:tcPr>
          <w:p>
            <w:pPr>
              <w:widowControl/>
              <w:jc w:val="center"/>
              <w:rPr>
                <w:rFonts w:hint="default" w:ascii="宋体" w:hAnsi="宋体" w:eastAsia="宋体"/>
                <w:color w:val="auto"/>
                <w:kern w:val="0"/>
                <w:sz w:val="24"/>
                <w:lang w:val="en-US" w:eastAsia="zh-CN"/>
              </w:rPr>
            </w:pPr>
            <w:r>
              <w:rPr>
                <w:rFonts w:hint="eastAsia" w:ascii="宋体" w:hAnsi="宋体"/>
                <w:color w:val="auto"/>
                <w:kern w:val="0"/>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80" w:type="dxa"/>
            <w:gridSpan w:val="2"/>
            <w:noWrap w:val="0"/>
            <w:vAlign w:val="center"/>
          </w:tcPr>
          <w:p>
            <w:pPr>
              <w:widowControl/>
              <w:jc w:val="center"/>
              <w:rPr>
                <w:rFonts w:ascii="宋体" w:hAnsi="宋体"/>
                <w:color w:val="auto"/>
                <w:kern w:val="0"/>
                <w:sz w:val="24"/>
              </w:rPr>
            </w:pPr>
            <w:r>
              <w:rPr>
                <w:rFonts w:hint="eastAsia" w:ascii="宋体" w:hAnsi="宋体"/>
                <w:color w:val="auto"/>
                <w:kern w:val="0"/>
                <w:sz w:val="24"/>
              </w:rPr>
              <w:t>机房位置</w:t>
            </w:r>
          </w:p>
        </w:tc>
        <w:tc>
          <w:tcPr>
            <w:tcW w:w="5334" w:type="dxa"/>
            <w:noWrap w:val="0"/>
            <w:vAlign w:val="center"/>
          </w:tcPr>
          <w:p>
            <w:pPr>
              <w:widowControl/>
              <w:jc w:val="center"/>
              <w:rPr>
                <w:rFonts w:ascii="宋体" w:hAnsi="宋体"/>
                <w:color w:val="auto"/>
                <w:kern w:val="0"/>
                <w:sz w:val="24"/>
              </w:rPr>
            </w:pPr>
            <w:r>
              <w:rPr>
                <w:rFonts w:hint="eastAsia" w:ascii="宋体" w:hAnsi="宋体"/>
                <w:color w:val="auto"/>
                <w:kern w:val="0"/>
                <w:sz w:val="24"/>
              </w:rPr>
              <w:t>无机房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80" w:type="dxa"/>
            <w:gridSpan w:val="2"/>
            <w:noWrap w:val="0"/>
            <w:vAlign w:val="center"/>
          </w:tcPr>
          <w:p>
            <w:pPr>
              <w:widowControl/>
              <w:jc w:val="center"/>
              <w:rPr>
                <w:rFonts w:ascii="宋体" w:hAnsi="宋体"/>
                <w:color w:val="auto"/>
                <w:kern w:val="0"/>
                <w:sz w:val="24"/>
              </w:rPr>
            </w:pPr>
            <w:r>
              <w:rPr>
                <w:rFonts w:hint="eastAsia" w:ascii="宋体" w:hAnsi="宋体"/>
                <w:color w:val="auto"/>
                <w:kern w:val="0"/>
                <w:sz w:val="24"/>
              </w:rPr>
              <w:t>曳引机</w:t>
            </w:r>
            <w:r>
              <w:rPr>
                <w:rFonts w:hint="eastAsia" w:ascii="宋体" w:hAnsi="宋体"/>
                <w:color w:val="auto"/>
                <w:kern w:val="0"/>
                <w:sz w:val="24"/>
                <w:lang w:eastAsia="zh-CN"/>
              </w:rPr>
              <w:t>（节能产品）</w:t>
            </w:r>
          </w:p>
        </w:tc>
        <w:tc>
          <w:tcPr>
            <w:tcW w:w="5334" w:type="dxa"/>
            <w:noWrap w:val="0"/>
            <w:vAlign w:val="center"/>
          </w:tcPr>
          <w:p>
            <w:pPr>
              <w:widowControl/>
              <w:jc w:val="center"/>
              <w:rPr>
                <w:rFonts w:ascii="宋体" w:hAnsi="宋体"/>
                <w:color w:val="auto"/>
                <w:kern w:val="0"/>
                <w:sz w:val="24"/>
              </w:rPr>
            </w:pPr>
            <w:r>
              <w:rPr>
                <w:rFonts w:hint="eastAsia" w:ascii="宋体" w:hAnsi="宋体" w:cs="Times New Roman"/>
                <w:color w:val="auto"/>
                <w:kern w:val="0"/>
                <w:sz w:val="21"/>
                <w:szCs w:val="21"/>
              </w:rPr>
              <w:t>交流变频无齿轮永磁同步曳引机</w:t>
            </w:r>
            <w:r>
              <w:rPr>
                <w:rFonts w:hint="eastAsia" w:ascii="宋体" w:hAnsi="宋体" w:cs="Times New Roman"/>
                <w:color w:val="auto"/>
                <w:kern w:val="0"/>
                <w:sz w:val="21"/>
                <w:szCs w:val="21"/>
                <w:lang w:eastAsia="zh-CN"/>
              </w:rPr>
              <w:t>：</w:t>
            </w:r>
            <w:r>
              <w:rPr>
                <w:rFonts w:hint="eastAsia" w:ascii="宋体" w:hAnsi="宋体" w:cs="Times New Roman"/>
                <w:color w:val="auto"/>
                <w:kern w:val="0"/>
                <w:sz w:val="21"/>
                <w:szCs w:val="21"/>
                <w:lang w:val="en-US" w:eastAsia="zh-CN"/>
              </w:rPr>
              <w:t>MINI.2 410/500 最大轴负荷：6000KG 适配变频器：3相400V级 制动器电压：：DC110V 制动器电流：2×2.2A 工作制：S5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80" w:type="dxa"/>
            <w:gridSpan w:val="2"/>
            <w:noWrap w:val="0"/>
            <w:vAlign w:val="center"/>
          </w:tcPr>
          <w:p>
            <w:pPr>
              <w:widowControl/>
              <w:jc w:val="center"/>
              <w:rPr>
                <w:rFonts w:ascii="宋体" w:hAnsi="宋体"/>
                <w:color w:val="auto"/>
                <w:kern w:val="0"/>
                <w:sz w:val="24"/>
              </w:rPr>
            </w:pPr>
            <w:r>
              <w:rPr>
                <w:rFonts w:hint="eastAsia" w:ascii="宋体" w:hAnsi="宋体"/>
                <w:color w:val="auto"/>
                <w:kern w:val="0"/>
                <w:sz w:val="24"/>
              </w:rPr>
              <w:t>预留门洞尺寸（宽</w:t>
            </w:r>
            <w:r>
              <w:rPr>
                <w:rFonts w:hint="eastAsia" w:ascii="宋体" w:hAnsi="宋体"/>
                <w:color w:val="auto"/>
                <w:kern w:val="0"/>
                <w:sz w:val="24"/>
              </w:rPr>
              <w:sym w:font="Symbol" w:char="F0B4"/>
            </w:r>
            <w:r>
              <w:rPr>
                <w:rFonts w:hint="eastAsia" w:ascii="宋体" w:hAnsi="宋体"/>
                <w:color w:val="auto"/>
                <w:kern w:val="0"/>
                <w:sz w:val="24"/>
              </w:rPr>
              <w:t>高）mm</w:t>
            </w:r>
          </w:p>
        </w:tc>
        <w:tc>
          <w:tcPr>
            <w:tcW w:w="5334" w:type="dxa"/>
            <w:noWrap w:val="0"/>
            <w:vAlign w:val="center"/>
          </w:tcPr>
          <w:p>
            <w:pPr>
              <w:widowControl/>
              <w:jc w:val="center"/>
              <w:rPr>
                <w:rFonts w:ascii="宋体" w:hAnsi="宋体"/>
                <w:color w:val="auto"/>
                <w:kern w:val="0"/>
                <w:sz w:val="24"/>
              </w:rPr>
            </w:pPr>
            <w:r>
              <w:rPr>
                <w:rFonts w:hint="eastAsia" w:ascii="宋体" w:hAnsi="宋体"/>
                <w:color w:val="auto"/>
                <w:kern w:val="0"/>
                <w:sz w:val="24"/>
                <w:lang w:val="en-US" w:eastAsia="zh-CN"/>
              </w:rPr>
              <w:t>1000*</w:t>
            </w:r>
            <w:r>
              <w:rPr>
                <w:rFonts w:hint="eastAsia" w:ascii="宋体" w:hAnsi="宋体"/>
                <w:color w:val="auto"/>
                <w:kern w:val="0"/>
                <w:sz w:val="24"/>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80" w:type="dxa"/>
            <w:gridSpan w:val="2"/>
            <w:noWrap w:val="0"/>
            <w:vAlign w:val="center"/>
          </w:tcPr>
          <w:p>
            <w:pPr>
              <w:pStyle w:val="6"/>
              <w:bidi w:val="0"/>
              <w:rPr>
                <w:rFonts w:ascii="宋体" w:hAnsi="宋体"/>
                <w:color w:val="auto"/>
                <w:kern w:val="0"/>
                <w:sz w:val="24"/>
              </w:rPr>
            </w:pPr>
            <w:r>
              <w:rPr>
                <w:rFonts w:hint="eastAsia" w:ascii="宋体" w:hAnsi="宋体"/>
                <w:color w:val="auto"/>
                <w:kern w:val="0"/>
                <w:sz w:val="24"/>
              </w:rPr>
              <w:t>井道尺寸（</w:t>
            </w:r>
            <w:r>
              <w:rPr>
                <w:rFonts w:hint="eastAsia" w:ascii="宋体" w:hAnsi="宋体"/>
                <w:color w:val="auto"/>
                <w:kern w:val="0"/>
                <w:sz w:val="24"/>
                <w:lang w:eastAsia="zh-CN"/>
              </w:rPr>
              <w:t>净</w:t>
            </w:r>
            <w:r>
              <w:rPr>
                <w:rFonts w:hint="eastAsia" w:ascii="宋体" w:hAnsi="宋体"/>
                <w:color w:val="auto"/>
                <w:kern w:val="0"/>
                <w:sz w:val="24"/>
              </w:rPr>
              <w:t>宽</w:t>
            </w:r>
            <w:r>
              <w:rPr>
                <w:rFonts w:hint="eastAsia" w:ascii="宋体" w:hAnsi="宋体"/>
                <w:color w:val="auto"/>
                <w:kern w:val="0"/>
                <w:sz w:val="24"/>
              </w:rPr>
              <w:sym w:font="Symbol" w:char="F0B4"/>
            </w:r>
            <w:r>
              <w:rPr>
                <w:rFonts w:hint="eastAsia" w:ascii="宋体" w:hAnsi="宋体"/>
                <w:color w:val="auto"/>
                <w:kern w:val="0"/>
                <w:sz w:val="24"/>
                <w:lang w:eastAsia="zh-CN"/>
              </w:rPr>
              <w:t>净</w:t>
            </w:r>
            <w:r>
              <w:rPr>
                <w:rFonts w:hint="eastAsia" w:ascii="宋体" w:hAnsi="宋体"/>
                <w:color w:val="auto"/>
                <w:kern w:val="0"/>
                <w:sz w:val="24"/>
              </w:rPr>
              <w:t>深）mm</w:t>
            </w:r>
          </w:p>
        </w:tc>
        <w:tc>
          <w:tcPr>
            <w:tcW w:w="5334" w:type="dxa"/>
            <w:noWrap w:val="0"/>
            <w:vAlign w:val="center"/>
          </w:tcPr>
          <w:p>
            <w:pPr>
              <w:jc w:val="center"/>
              <w:rPr>
                <w:rFonts w:hint="default" w:ascii="宋体" w:hAnsi="宋体" w:eastAsia="宋体"/>
                <w:color w:val="auto"/>
                <w:kern w:val="0"/>
                <w:sz w:val="24"/>
                <w:lang w:val="en-US" w:eastAsia="zh-CN"/>
              </w:rPr>
            </w:pPr>
            <w:r>
              <w:rPr>
                <w:rFonts w:hint="eastAsia" w:ascii="宋体" w:hAnsi="宋体"/>
                <w:color w:val="auto"/>
                <w:kern w:val="0"/>
                <w:sz w:val="24"/>
                <w:lang w:val="en-US" w:eastAsia="zh-CN"/>
              </w:rPr>
              <w:t>2300</w:t>
            </w:r>
            <w:r>
              <w:rPr>
                <w:rFonts w:ascii="宋体" w:hAnsi="宋体"/>
                <w:color w:val="auto"/>
                <w:kern w:val="0"/>
                <w:sz w:val="24"/>
              </w:rPr>
              <w:t>*</w:t>
            </w:r>
            <w:r>
              <w:rPr>
                <w:rFonts w:hint="eastAsia" w:ascii="宋体" w:hAnsi="宋体"/>
                <w:color w:val="auto"/>
                <w:kern w:val="0"/>
                <w:sz w:val="24"/>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80" w:type="dxa"/>
            <w:gridSpan w:val="2"/>
            <w:noWrap w:val="0"/>
            <w:vAlign w:val="center"/>
          </w:tcPr>
          <w:p>
            <w:pPr>
              <w:widowControl/>
              <w:jc w:val="center"/>
              <w:rPr>
                <w:rFonts w:ascii="宋体" w:hAnsi="宋体"/>
                <w:color w:val="auto"/>
                <w:kern w:val="0"/>
                <w:sz w:val="24"/>
              </w:rPr>
            </w:pPr>
            <w:r>
              <w:rPr>
                <w:rFonts w:hint="eastAsia" w:ascii="宋体" w:hAnsi="宋体"/>
                <w:color w:val="auto"/>
                <w:kern w:val="0"/>
                <w:sz w:val="24"/>
              </w:rPr>
              <w:t>顶层高度mm</w:t>
            </w:r>
          </w:p>
        </w:tc>
        <w:tc>
          <w:tcPr>
            <w:tcW w:w="5334" w:type="dxa"/>
            <w:noWrap w:val="0"/>
            <w:vAlign w:val="center"/>
          </w:tcPr>
          <w:p>
            <w:pPr>
              <w:jc w:val="center"/>
              <w:rPr>
                <w:rFonts w:hint="default" w:ascii="宋体" w:hAnsi="宋体" w:eastAsia="宋体"/>
                <w:color w:val="auto"/>
                <w:kern w:val="0"/>
                <w:sz w:val="24"/>
                <w:lang w:val="en-US" w:eastAsia="zh-CN"/>
              </w:rPr>
            </w:pPr>
            <w:r>
              <w:rPr>
                <w:rFonts w:hint="eastAsia" w:ascii="宋体" w:hAnsi="宋体"/>
                <w:color w:val="auto"/>
                <w:kern w:val="0"/>
                <w:sz w:val="24"/>
                <w:lang w:val="en-US" w:eastAsia="zh-CN"/>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80" w:type="dxa"/>
            <w:gridSpan w:val="2"/>
            <w:noWrap w:val="0"/>
            <w:vAlign w:val="center"/>
          </w:tcPr>
          <w:p>
            <w:pPr>
              <w:widowControl/>
              <w:jc w:val="center"/>
              <w:rPr>
                <w:rFonts w:ascii="宋体" w:hAnsi="宋体"/>
                <w:color w:val="auto"/>
                <w:kern w:val="0"/>
                <w:sz w:val="24"/>
              </w:rPr>
            </w:pPr>
            <w:r>
              <w:rPr>
                <w:rFonts w:hint="eastAsia" w:ascii="宋体" w:hAnsi="宋体"/>
                <w:color w:val="auto"/>
                <w:kern w:val="0"/>
                <w:sz w:val="24"/>
              </w:rPr>
              <w:t>底坑深度mm</w:t>
            </w:r>
          </w:p>
        </w:tc>
        <w:tc>
          <w:tcPr>
            <w:tcW w:w="5334" w:type="dxa"/>
            <w:noWrap w:val="0"/>
            <w:vAlign w:val="center"/>
          </w:tcPr>
          <w:p>
            <w:pPr>
              <w:jc w:val="center"/>
              <w:rPr>
                <w:rFonts w:ascii="宋体" w:hAnsi="宋体"/>
                <w:color w:val="auto"/>
                <w:kern w:val="0"/>
                <w:sz w:val="24"/>
              </w:rPr>
            </w:pPr>
            <w:r>
              <w:rPr>
                <w:rFonts w:hint="eastAsia" w:ascii="宋体" w:hAnsi="宋体"/>
                <w:color w:val="auto"/>
                <w:kern w:val="0"/>
                <w:sz w:val="24"/>
              </w:rPr>
              <w:t>1</w:t>
            </w:r>
            <w:r>
              <w:rPr>
                <w:rFonts w:ascii="宋体" w:hAnsi="宋体"/>
                <w:color w:val="auto"/>
                <w:kern w:val="0"/>
                <w:sz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80" w:type="dxa"/>
            <w:gridSpan w:val="2"/>
            <w:noWrap w:val="0"/>
            <w:vAlign w:val="center"/>
          </w:tcPr>
          <w:p>
            <w:pPr>
              <w:jc w:val="center"/>
              <w:rPr>
                <w:rFonts w:ascii="宋体" w:hAnsi="宋体"/>
                <w:color w:val="auto"/>
                <w:kern w:val="0"/>
                <w:sz w:val="24"/>
              </w:rPr>
            </w:pPr>
            <w:r>
              <w:rPr>
                <w:rFonts w:hint="eastAsia" w:ascii="宋体" w:hAnsi="宋体"/>
                <w:color w:val="auto"/>
                <w:kern w:val="0"/>
                <w:sz w:val="24"/>
              </w:rPr>
              <w:t>轿厢尺寸mm</w:t>
            </w:r>
          </w:p>
        </w:tc>
        <w:tc>
          <w:tcPr>
            <w:tcW w:w="5334" w:type="dxa"/>
            <w:noWrap w:val="0"/>
            <w:vAlign w:val="center"/>
          </w:tcPr>
          <w:p>
            <w:pPr>
              <w:widowControl/>
              <w:jc w:val="center"/>
              <w:rPr>
                <w:rFonts w:hint="default" w:ascii="宋体" w:hAnsi="宋体" w:eastAsia="宋体"/>
                <w:color w:val="auto"/>
                <w:kern w:val="0"/>
                <w:sz w:val="24"/>
                <w:lang w:val="en-US" w:eastAsia="zh-CN"/>
              </w:rPr>
            </w:pPr>
            <w:r>
              <w:rPr>
                <w:rFonts w:hint="eastAsia" w:ascii="宋体" w:hAnsi="宋体"/>
                <w:color w:val="auto"/>
                <w:kern w:val="0"/>
                <w:sz w:val="24"/>
                <w:lang w:val="en-US" w:eastAsia="zh-CN"/>
              </w:rPr>
              <w:t>1400*1350*2500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80" w:type="dxa"/>
            <w:gridSpan w:val="2"/>
            <w:noWrap w:val="0"/>
            <w:vAlign w:val="center"/>
          </w:tcPr>
          <w:p>
            <w:pPr>
              <w:jc w:val="center"/>
              <w:rPr>
                <w:rFonts w:hint="default" w:ascii="宋体" w:hAnsi="宋体" w:eastAsia="宋体"/>
                <w:color w:val="auto"/>
                <w:kern w:val="0"/>
                <w:sz w:val="24"/>
                <w:lang w:val="en-US" w:eastAsia="zh-CN"/>
              </w:rPr>
            </w:pPr>
            <w:r>
              <w:rPr>
                <w:rFonts w:hint="eastAsia" w:ascii="宋体" w:hAnsi="宋体"/>
                <w:color w:val="auto"/>
                <w:kern w:val="0"/>
                <w:sz w:val="24"/>
              </w:rPr>
              <w:t>开门</w:t>
            </w:r>
            <w:r>
              <w:rPr>
                <w:rFonts w:hint="eastAsia" w:ascii="宋体" w:hAnsi="宋体"/>
                <w:color w:val="auto"/>
                <w:kern w:val="0"/>
                <w:sz w:val="24"/>
                <w:lang w:eastAsia="zh-CN"/>
              </w:rPr>
              <w:t>尺寸</w:t>
            </w:r>
            <w:r>
              <w:rPr>
                <w:rFonts w:hint="eastAsia" w:ascii="宋体" w:hAnsi="宋体"/>
                <w:color w:val="auto"/>
                <w:kern w:val="0"/>
                <w:sz w:val="24"/>
                <w:lang w:val="en-US" w:eastAsia="zh-CN"/>
              </w:rPr>
              <w:t>mm</w:t>
            </w:r>
          </w:p>
        </w:tc>
        <w:tc>
          <w:tcPr>
            <w:tcW w:w="5334" w:type="dxa"/>
            <w:noWrap w:val="0"/>
            <w:vAlign w:val="center"/>
          </w:tcPr>
          <w:p>
            <w:pPr>
              <w:jc w:val="center"/>
              <w:rPr>
                <w:rFonts w:hint="default" w:ascii="宋体" w:hAnsi="宋体" w:eastAsia="宋体"/>
                <w:color w:val="auto"/>
                <w:kern w:val="0"/>
                <w:sz w:val="24"/>
                <w:lang w:val="en-US" w:eastAsia="zh-CN"/>
              </w:rPr>
            </w:pPr>
            <w:r>
              <w:rPr>
                <w:rFonts w:hint="eastAsia" w:ascii="宋体" w:hAnsi="宋体"/>
                <w:color w:val="auto"/>
                <w:kern w:val="0"/>
                <w:sz w:val="24"/>
                <w:lang w:val="en-US" w:eastAsia="zh-CN"/>
              </w:rPr>
              <w:t>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80" w:type="dxa"/>
            <w:gridSpan w:val="2"/>
            <w:noWrap w:val="0"/>
            <w:vAlign w:val="center"/>
          </w:tcPr>
          <w:p>
            <w:pPr>
              <w:widowControl/>
              <w:jc w:val="center"/>
              <w:rPr>
                <w:rFonts w:ascii="宋体" w:hAnsi="宋体"/>
                <w:color w:val="auto"/>
                <w:kern w:val="0"/>
                <w:sz w:val="24"/>
              </w:rPr>
            </w:pPr>
            <w:r>
              <w:rPr>
                <w:rFonts w:hint="eastAsia" w:ascii="宋体" w:hAnsi="宋体"/>
                <w:color w:val="auto"/>
                <w:kern w:val="0"/>
                <w:sz w:val="24"/>
              </w:rPr>
              <w:t>驱动方式</w:t>
            </w:r>
          </w:p>
        </w:tc>
        <w:tc>
          <w:tcPr>
            <w:tcW w:w="5334" w:type="dxa"/>
            <w:noWrap w:val="0"/>
            <w:vAlign w:val="center"/>
          </w:tcPr>
          <w:p>
            <w:pPr>
              <w:widowControl/>
              <w:jc w:val="center"/>
              <w:rPr>
                <w:rFonts w:ascii="宋体" w:hAnsi="宋体"/>
                <w:color w:val="auto"/>
                <w:kern w:val="0"/>
                <w:sz w:val="24"/>
              </w:rPr>
            </w:pPr>
            <w:r>
              <w:rPr>
                <w:rFonts w:hint="eastAsia" w:ascii="宋体" w:hAnsi="宋体" w:cs="Times New Roman"/>
                <w:color w:val="auto"/>
                <w:kern w:val="0"/>
                <w:sz w:val="24"/>
                <w:lang w:val="en-US" w:eastAsia="zh-CN"/>
              </w:rPr>
              <w:t>曳引驱动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 w:hRule="atLeast"/>
          <w:jc w:val="center"/>
        </w:trPr>
        <w:tc>
          <w:tcPr>
            <w:tcW w:w="1658" w:type="dxa"/>
            <w:vMerge w:val="restart"/>
            <w:noWrap w:val="0"/>
            <w:vAlign w:val="center"/>
          </w:tcPr>
          <w:p>
            <w:pPr>
              <w:jc w:val="center"/>
              <w:rPr>
                <w:rFonts w:hint="eastAsia" w:ascii="宋体" w:hAnsi="宋体" w:cs="Times New Roman"/>
                <w:color w:val="auto"/>
                <w:kern w:val="0"/>
                <w:sz w:val="24"/>
                <w:lang w:eastAsia="zh-CN"/>
              </w:rPr>
            </w:pPr>
            <w:r>
              <w:rPr>
                <w:rFonts w:hint="eastAsia" w:ascii="宋体" w:hAnsi="宋体" w:cs="Times New Roman"/>
                <w:color w:val="auto"/>
                <w:kern w:val="0"/>
                <w:sz w:val="24"/>
                <w:lang w:eastAsia="zh-CN"/>
              </w:rPr>
              <w:t>轿厢</w:t>
            </w:r>
          </w:p>
        </w:tc>
        <w:tc>
          <w:tcPr>
            <w:tcW w:w="2222"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轿门材质</w:t>
            </w:r>
          </w:p>
        </w:tc>
        <w:tc>
          <w:tcPr>
            <w:tcW w:w="5334"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 w:hRule="atLeast"/>
          <w:jc w:val="center"/>
        </w:trPr>
        <w:tc>
          <w:tcPr>
            <w:tcW w:w="1658" w:type="dxa"/>
            <w:vMerge w:val="continue"/>
            <w:noWrap w:val="0"/>
            <w:vAlign w:val="center"/>
          </w:tcPr>
          <w:p>
            <w:pPr>
              <w:jc w:val="center"/>
              <w:rPr>
                <w:rFonts w:hint="eastAsia" w:ascii="宋体" w:hAnsi="宋体" w:cs="Times New Roman"/>
                <w:color w:val="auto"/>
                <w:kern w:val="0"/>
                <w:sz w:val="24"/>
                <w:lang w:eastAsia="zh-CN"/>
              </w:rPr>
            </w:pPr>
          </w:p>
        </w:tc>
        <w:tc>
          <w:tcPr>
            <w:tcW w:w="2222"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侧围壁材质</w:t>
            </w:r>
          </w:p>
        </w:tc>
        <w:tc>
          <w:tcPr>
            <w:tcW w:w="5334"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 w:hRule="atLeast"/>
          <w:jc w:val="center"/>
        </w:trPr>
        <w:tc>
          <w:tcPr>
            <w:tcW w:w="1658" w:type="dxa"/>
            <w:vMerge w:val="continue"/>
            <w:noWrap w:val="0"/>
            <w:vAlign w:val="center"/>
          </w:tcPr>
          <w:p>
            <w:pPr>
              <w:jc w:val="center"/>
              <w:rPr>
                <w:rFonts w:hint="eastAsia" w:ascii="宋体" w:hAnsi="宋体" w:cs="Times New Roman"/>
                <w:color w:val="auto"/>
                <w:kern w:val="0"/>
                <w:sz w:val="24"/>
                <w:lang w:eastAsia="zh-CN"/>
              </w:rPr>
            </w:pPr>
          </w:p>
        </w:tc>
        <w:tc>
          <w:tcPr>
            <w:tcW w:w="2222"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后围壁材质</w:t>
            </w:r>
          </w:p>
        </w:tc>
        <w:tc>
          <w:tcPr>
            <w:tcW w:w="5334"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 w:hRule="atLeast"/>
          <w:jc w:val="center"/>
        </w:trPr>
        <w:tc>
          <w:tcPr>
            <w:tcW w:w="1658" w:type="dxa"/>
            <w:vMerge w:val="continue"/>
            <w:noWrap w:val="0"/>
            <w:vAlign w:val="center"/>
          </w:tcPr>
          <w:p>
            <w:pPr>
              <w:jc w:val="center"/>
              <w:rPr>
                <w:rFonts w:hint="eastAsia" w:ascii="宋体" w:hAnsi="宋体" w:cs="Times New Roman"/>
                <w:color w:val="auto"/>
                <w:kern w:val="0"/>
                <w:sz w:val="24"/>
                <w:lang w:eastAsia="zh-CN"/>
              </w:rPr>
            </w:pPr>
          </w:p>
        </w:tc>
        <w:tc>
          <w:tcPr>
            <w:tcW w:w="2222"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前围壁材质</w:t>
            </w:r>
          </w:p>
        </w:tc>
        <w:tc>
          <w:tcPr>
            <w:tcW w:w="5334"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 w:hRule="atLeast"/>
          <w:jc w:val="center"/>
        </w:trPr>
        <w:tc>
          <w:tcPr>
            <w:tcW w:w="1658" w:type="dxa"/>
            <w:vMerge w:val="continue"/>
            <w:noWrap w:val="0"/>
            <w:vAlign w:val="center"/>
          </w:tcPr>
          <w:p>
            <w:pPr>
              <w:jc w:val="center"/>
              <w:rPr>
                <w:rFonts w:hint="eastAsia" w:ascii="宋体" w:hAnsi="宋体" w:cs="Times New Roman"/>
                <w:color w:val="auto"/>
                <w:kern w:val="0"/>
                <w:sz w:val="24"/>
                <w:lang w:eastAsia="zh-CN"/>
              </w:rPr>
            </w:pPr>
          </w:p>
        </w:tc>
        <w:tc>
          <w:tcPr>
            <w:tcW w:w="2222"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轿顶</w:t>
            </w:r>
          </w:p>
        </w:tc>
        <w:tc>
          <w:tcPr>
            <w:tcW w:w="5334"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标配</w:t>
            </w:r>
            <w:r>
              <w:rPr>
                <w:rFonts w:hint="eastAsia" w:ascii="宋体" w:hAnsi="宋体" w:cs="Times New Roman"/>
                <w:color w:val="auto"/>
                <w:kern w:val="0"/>
                <w:sz w:val="24"/>
                <w:lang w:val="en-US" w:eastAsia="zh-CN"/>
              </w:rPr>
              <w:t>一体式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 w:hRule="atLeast"/>
          <w:jc w:val="center"/>
        </w:trPr>
        <w:tc>
          <w:tcPr>
            <w:tcW w:w="1658" w:type="dxa"/>
            <w:vMerge w:val="continue"/>
            <w:noWrap w:val="0"/>
            <w:vAlign w:val="center"/>
          </w:tcPr>
          <w:p>
            <w:pPr>
              <w:jc w:val="center"/>
              <w:rPr>
                <w:rFonts w:hint="eastAsia" w:ascii="宋体" w:hAnsi="宋体" w:cs="Times New Roman"/>
                <w:color w:val="auto"/>
                <w:kern w:val="0"/>
                <w:sz w:val="24"/>
                <w:lang w:eastAsia="zh-CN"/>
              </w:rPr>
            </w:pPr>
          </w:p>
        </w:tc>
        <w:tc>
          <w:tcPr>
            <w:tcW w:w="2222"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轿底</w:t>
            </w:r>
          </w:p>
        </w:tc>
        <w:tc>
          <w:tcPr>
            <w:tcW w:w="5334"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 w:hRule="atLeast"/>
          <w:jc w:val="center"/>
        </w:trPr>
        <w:tc>
          <w:tcPr>
            <w:tcW w:w="1658" w:type="dxa"/>
            <w:vMerge w:val="continue"/>
            <w:noWrap w:val="0"/>
            <w:vAlign w:val="center"/>
          </w:tcPr>
          <w:p>
            <w:pPr>
              <w:jc w:val="center"/>
              <w:rPr>
                <w:rFonts w:hint="eastAsia" w:ascii="宋体" w:hAnsi="宋体" w:cs="Times New Roman"/>
                <w:color w:val="auto"/>
                <w:kern w:val="0"/>
                <w:sz w:val="24"/>
                <w:lang w:eastAsia="zh-CN"/>
              </w:rPr>
            </w:pPr>
          </w:p>
        </w:tc>
        <w:tc>
          <w:tcPr>
            <w:tcW w:w="2222"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轿内操纵箱</w:t>
            </w:r>
          </w:p>
        </w:tc>
        <w:tc>
          <w:tcPr>
            <w:tcW w:w="5334"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lang w:val="en-US" w:eastAsia="zh-CN"/>
              </w:rPr>
              <w:t>不锈钢一体式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 w:hRule="atLeast"/>
          <w:jc w:val="center"/>
        </w:trPr>
        <w:tc>
          <w:tcPr>
            <w:tcW w:w="1658" w:type="dxa"/>
            <w:vMerge w:val="continue"/>
            <w:noWrap w:val="0"/>
            <w:vAlign w:val="center"/>
          </w:tcPr>
          <w:p>
            <w:pPr>
              <w:jc w:val="center"/>
              <w:rPr>
                <w:rFonts w:hint="eastAsia" w:ascii="宋体" w:hAnsi="宋体" w:cs="Times New Roman"/>
                <w:color w:val="auto"/>
                <w:kern w:val="0"/>
                <w:sz w:val="24"/>
                <w:lang w:eastAsia="zh-CN"/>
              </w:rPr>
            </w:pPr>
          </w:p>
        </w:tc>
        <w:tc>
          <w:tcPr>
            <w:tcW w:w="2222"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门保护系统</w:t>
            </w:r>
          </w:p>
        </w:tc>
        <w:tc>
          <w:tcPr>
            <w:tcW w:w="5334"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光幕门保护系统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 w:hRule="atLeast"/>
          <w:jc w:val="center"/>
        </w:trPr>
        <w:tc>
          <w:tcPr>
            <w:tcW w:w="1658" w:type="dxa"/>
            <w:vMerge w:val="continue"/>
            <w:noWrap w:val="0"/>
            <w:vAlign w:val="center"/>
          </w:tcPr>
          <w:p>
            <w:pPr>
              <w:jc w:val="center"/>
              <w:rPr>
                <w:rFonts w:hint="eastAsia" w:ascii="宋体" w:hAnsi="宋体" w:cs="Times New Roman"/>
                <w:color w:val="auto"/>
                <w:kern w:val="0"/>
                <w:sz w:val="24"/>
                <w:lang w:eastAsia="zh-CN"/>
              </w:rPr>
            </w:pPr>
          </w:p>
        </w:tc>
        <w:tc>
          <w:tcPr>
            <w:tcW w:w="2222"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门系统</w:t>
            </w:r>
          </w:p>
        </w:tc>
        <w:tc>
          <w:tcPr>
            <w:tcW w:w="5334"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VVVF变频门机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1658" w:type="dxa"/>
            <w:vMerge w:val="restart"/>
            <w:noWrap w:val="0"/>
            <w:vAlign w:val="center"/>
          </w:tcPr>
          <w:p>
            <w:pPr>
              <w:jc w:val="center"/>
              <w:rPr>
                <w:rFonts w:hint="eastAsia" w:ascii="宋体" w:hAnsi="宋体" w:eastAsia="宋体" w:cs="Times New Roman"/>
                <w:color w:val="auto"/>
                <w:kern w:val="0"/>
                <w:sz w:val="24"/>
                <w:lang w:eastAsia="zh-CN"/>
              </w:rPr>
            </w:pPr>
            <w:r>
              <w:rPr>
                <w:rFonts w:hint="eastAsia" w:ascii="宋体" w:hAnsi="宋体" w:cs="Times New Roman"/>
                <w:color w:val="auto"/>
                <w:kern w:val="0"/>
                <w:sz w:val="24"/>
                <w:lang w:eastAsia="zh-CN"/>
              </w:rPr>
              <w:t>厅门</w:t>
            </w:r>
          </w:p>
        </w:tc>
        <w:tc>
          <w:tcPr>
            <w:tcW w:w="2222" w:type="dxa"/>
            <w:noWrap w:val="0"/>
            <w:vAlign w:val="center"/>
          </w:tcPr>
          <w:p>
            <w:pPr>
              <w:jc w:val="center"/>
              <w:rPr>
                <w:rFonts w:hint="default" w:ascii="宋体" w:hAnsi="宋体" w:eastAsia="宋体" w:cs="Times New Roman"/>
                <w:color w:val="auto"/>
                <w:kern w:val="0"/>
                <w:sz w:val="24"/>
                <w:lang w:val="en-US" w:eastAsia="zh-CN"/>
              </w:rPr>
            </w:pPr>
            <w:r>
              <w:rPr>
                <w:rFonts w:hint="eastAsia" w:ascii="宋体" w:hAnsi="宋体" w:cs="Times New Roman"/>
                <w:color w:val="auto"/>
                <w:kern w:val="0"/>
                <w:sz w:val="24"/>
              </w:rPr>
              <w:t>开门方式</w:t>
            </w:r>
            <w:r>
              <w:rPr>
                <w:rFonts w:hint="eastAsia" w:ascii="宋体" w:hAnsi="宋体" w:cs="Times New Roman"/>
                <w:color w:val="auto"/>
                <w:kern w:val="0"/>
                <w:sz w:val="24"/>
                <w:lang w:eastAsia="zh-CN"/>
              </w:rPr>
              <w:t>，尺寸</w:t>
            </w:r>
            <w:r>
              <w:rPr>
                <w:rFonts w:hint="eastAsia" w:ascii="宋体" w:hAnsi="宋体" w:cs="Times New Roman"/>
                <w:color w:val="auto"/>
                <w:kern w:val="0"/>
                <w:sz w:val="24"/>
                <w:lang w:val="en-US" w:eastAsia="zh-CN"/>
              </w:rPr>
              <w:t>mm</w:t>
            </w:r>
          </w:p>
        </w:tc>
        <w:tc>
          <w:tcPr>
            <w:tcW w:w="5334"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lang w:val="en-US" w:eastAsia="zh-CN"/>
              </w:rPr>
              <w:t>中分，</w:t>
            </w:r>
            <w:r>
              <w:rPr>
                <w:rFonts w:hint="eastAsia" w:ascii="宋体" w:hAnsi="宋体"/>
                <w:color w:val="auto"/>
                <w:kern w:val="0"/>
                <w:sz w:val="24"/>
                <w:lang w:val="en-US" w:eastAsia="zh-CN"/>
              </w:rPr>
              <w:t>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1658" w:type="dxa"/>
            <w:vMerge w:val="continue"/>
            <w:noWrap w:val="0"/>
            <w:vAlign w:val="center"/>
          </w:tcPr>
          <w:p>
            <w:pPr>
              <w:jc w:val="center"/>
              <w:rPr>
                <w:rFonts w:hint="eastAsia" w:ascii="宋体" w:hAnsi="宋体" w:cs="Times New Roman"/>
                <w:color w:val="auto"/>
                <w:kern w:val="0"/>
                <w:sz w:val="24"/>
              </w:rPr>
            </w:pPr>
          </w:p>
        </w:tc>
        <w:tc>
          <w:tcPr>
            <w:tcW w:w="2222" w:type="dxa"/>
            <w:noWrap w:val="0"/>
            <w:vAlign w:val="center"/>
          </w:tcPr>
          <w:p>
            <w:pPr>
              <w:widowControl/>
              <w:jc w:val="center"/>
              <w:rPr>
                <w:rFonts w:hint="eastAsia" w:ascii="宋体" w:hAnsi="宋体" w:eastAsia="宋体" w:cs="Times New Roman"/>
                <w:color w:val="auto"/>
                <w:kern w:val="0"/>
                <w:sz w:val="24"/>
                <w:szCs w:val="22"/>
                <w:lang w:val="en-US" w:eastAsia="zh-CN" w:bidi="ar-SA"/>
              </w:rPr>
            </w:pPr>
            <w:r>
              <w:rPr>
                <w:rFonts w:hint="eastAsia" w:ascii="宋体" w:hAnsi="宋体"/>
                <w:color w:val="auto"/>
                <w:kern w:val="0"/>
                <w:sz w:val="24"/>
              </w:rPr>
              <w:t>厅门</w:t>
            </w:r>
          </w:p>
        </w:tc>
        <w:tc>
          <w:tcPr>
            <w:tcW w:w="5334" w:type="dxa"/>
            <w:noWrap w:val="0"/>
            <w:vAlign w:val="center"/>
          </w:tcPr>
          <w:p>
            <w:pPr>
              <w:widowControl/>
              <w:jc w:val="center"/>
              <w:rPr>
                <w:rFonts w:hint="eastAsia" w:ascii="宋体" w:hAnsi="宋体" w:eastAsia="宋体" w:cs="Times New Roman"/>
                <w:color w:val="auto"/>
                <w:kern w:val="0"/>
                <w:sz w:val="24"/>
                <w:szCs w:val="22"/>
                <w:lang w:val="en-US" w:eastAsia="zh-CN" w:bidi="ar-SA"/>
              </w:rPr>
            </w:pPr>
            <w:r>
              <w:rPr>
                <w:rFonts w:hint="eastAsia" w:ascii="宋体" w:hAnsi="宋体"/>
                <w:color w:val="auto"/>
                <w:kern w:val="0"/>
                <w:sz w:val="24"/>
                <w:lang w:eastAsia="zh-CN"/>
              </w:rPr>
              <w:t>首层</w:t>
            </w:r>
            <w:r>
              <w:rPr>
                <w:rFonts w:hint="eastAsia" w:ascii="宋体" w:hAnsi="宋体"/>
                <w:color w:val="auto"/>
                <w:kern w:val="0"/>
                <w:sz w:val="24"/>
              </w:rPr>
              <w:t>发纹不锈钢</w:t>
            </w:r>
            <w:r>
              <w:rPr>
                <w:rFonts w:hint="eastAsia" w:ascii="宋体" w:hAnsi="宋体"/>
                <w:color w:val="auto"/>
                <w:kern w:val="0"/>
                <w:sz w:val="24"/>
                <w:lang w:eastAsia="zh-CN"/>
              </w:rPr>
              <w:t>，其余楼层高品质喷粉钢板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1658" w:type="dxa"/>
            <w:vMerge w:val="continue"/>
            <w:noWrap w:val="0"/>
            <w:vAlign w:val="center"/>
          </w:tcPr>
          <w:p>
            <w:pPr>
              <w:jc w:val="center"/>
              <w:rPr>
                <w:rFonts w:hint="eastAsia" w:ascii="宋体" w:hAnsi="宋体" w:cs="Times New Roman"/>
                <w:color w:val="auto"/>
                <w:kern w:val="0"/>
                <w:sz w:val="24"/>
              </w:rPr>
            </w:pPr>
          </w:p>
        </w:tc>
        <w:tc>
          <w:tcPr>
            <w:tcW w:w="2222"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门套</w:t>
            </w:r>
          </w:p>
        </w:tc>
        <w:tc>
          <w:tcPr>
            <w:tcW w:w="5334"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1658" w:type="dxa"/>
            <w:vMerge w:val="continue"/>
            <w:noWrap w:val="0"/>
            <w:vAlign w:val="center"/>
          </w:tcPr>
          <w:p>
            <w:pPr>
              <w:jc w:val="center"/>
              <w:rPr>
                <w:rFonts w:hint="eastAsia" w:ascii="宋体" w:hAnsi="宋体" w:cs="Times New Roman"/>
                <w:color w:val="auto"/>
                <w:kern w:val="0"/>
                <w:sz w:val="24"/>
              </w:rPr>
            </w:pPr>
          </w:p>
        </w:tc>
        <w:tc>
          <w:tcPr>
            <w:tcW w:w="2222"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地坎</w:t>
            </w:r>
          </w:p>
        </w:tc>
        <w:tc>
          <w:tcPr>
            <w:tcW w:w="5334"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铝地坎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1658" w:type="dxa"/>
            <w:vMerge w:val="continue"/>
            <w:noWrap w:val="0"/>
            <w:vAlign w:val="center"/>
          </w:tcPr>
          <w:p>
            <w:pPr>
              <w:jc w:val="center"/>
              <w:rPr>
                <w:rFonts w:hint="eastAsia" w:ascii="宋体" w:hAnsi="宋体" w:cs="Times New Roman"/>
                <w:color w:val="auto"/>
                <w:kern w:val="0"/>
                <w:sz w:val="24"/>
              </w:rPr>
            </w:pPr>
          </w:p>
        </w:tc>
        <w:tc>
          <w:tcPr>
            <w:tcW w:w="2222"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外呼面板材料</w:t>
            </w:r>
          </w:p>
        </w:tc>
        <w:tc>
          <w:tcPr>
            <w:tcW w:w="5334"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lang w:val="en-US" w:eastAsia="zh-CN"/>
              </w:rPr>
              <w:t>无底壳</w:t>
            </w:r>
            <w:r>
              <w:rPr>
                <w:rFonts w:hint="eastAsia" w:ascii="宋体" w:hAnsi="宋体" w:cs="Times New Roman"/>
                <w:color w:val="auto"/>
                <w:kern w:val="0"/>
                <w:sz w:val="24"/>
              </w:rPr>
              <w:t>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1658" w:type="dxa"/>
            <w:vMerge w:val="continue"/>
            <w:noWrap w:val="0"/>
            <w:vAlign w:val="center"/>
          </w:tcPr>
          <w:p>
            <w:pPr>
              <w:jc w:val="center"/>
              <w:rPr>
                <w:rFonts w:hint="eastAsia" w:ascii="宋体" w:hAnsi="宋体" w:cs="Times New Roman"/>
                <w:color w:val="auto"/>
                <w:kern w:val="0"/>
                <w:sz w:val="24"/>
              </w:rPr>
            </w:pPr>
          </w:p>
        </w:tc>
        <w:tc>
          <w:tcPr>
            <w:tcW w:w="2222"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rPr>
              <w:t>显示</w:t>
            </w:r>
          </w:p>
        </w:tc>
        <w:tc>
          <w:tcPr>
            <w:tcW w:w="5334" w:type="dxa"/>
            <w:noWrap w:val="0"/>
            <w:vAlign w:val="center"/>
          </w:tcPr>
          <w:p>
            <w:pPr>
              <w:jc w:val="center"/>
              <w:rPr>
                <w:rFonts w:hint="eastAsia" w:ascii="宋体" w:hAnsi="宋体" w:cs="Times New Roman"/>
                <w:color w:val="auto"/>
                <w:kern w:val="0"/>
                <w:sz w:val="24"/>
                <w:lang w:val="en-US" w:eastAsia="zh-CN"/>
              </w:rPr>
            </w:pPr>
            <w:r>
              <w:rPr>
                <w:rFonts w:hint="eastAsia" w:ascii="宋体" w:hAnsi="宋体" w:cs="Times New Roman"/>
                <w:color w:val="auto"/>
                <w:kern w:val="0"/>
                <w:sz w:val="24"/>
                <w:lang w:val="en-US" w:eastAsia="zh-CN"/>
              </w:rPr>
              <w:t>液晶</w:t>
            </w:r>
            <w:r>
              <w:rPr>
                <w:rFonts w:hint="eastAsia" w:ascii="宋体" w:hAnsi="宋体" w:cs="Times New Roman"/>
                <w:color w:val="auto"/>
                <w:kern w:val="0"/>
                <w:sz w:val="24"/>
              </w:rPr>
              <w:t>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80" w:type="dxa"/>
            <w:gridSpan w:val="2"/>
            <w:vMerge w:val="restart"/>
            <w:noWrap w:val="0"/>
            <w:vAlign w:val="center"/>
          </w:tcPr>
          <w:p>
            <w:pPr>
              <w:widowControl/>
              <w:jc w:val="center"/>
              <w:rPr>
                <w:rFonts w:ascii="宋体" w:hAnsi="宋体"/>
                <w:color w:val="auto"/>
                <w:kern w:val="0"/>
                <w:sz w:val="24"/>
              </w:rPr>
            </w:pPr>
            <w:r>
              <w:rPr>
                <w:rFonts w:hint="eastAsia" w:ascii="宋体" w:hAnsi="宋体" w:eastAsia="宋体" w:cs="Times New Roman"/>
                <w:color w:val="auto"/>
                <w:kern w:val="0"/>
                <w:sz w:val="24"/>
                <w:lang w:eastAsia="zh-CN"/>
              </w:rPr>
              <w:t>电   源</w:t>
            </w:r>
          </w:p>
        </w:tc>
        <w:tc>
          <w:tcPr>
            <w:tcW w:w="5334" w:type="dxa"/>
            <w:noWrap w:val="0"/>
            <w:vAlign w:val="center"/>
          </w:tcPr>
          <w:p>
            <w:pPr>
              <w:jc w:val="left"/>
              <w:rPr>
                <w:rFonts w:hint="default" w:ascii="宋体" w:hAnsi="宋体" w:cs="Times New Roman"/>
                <w:color w:val="auto"/>
                <w:kern w:val="0"/>
                <w:sz w:val="24"/>
                <w:lang w:val="en-US" w:eastAsia="zh-CN"/>
              </w:rPr>
            </w:pPr>
            <w:r>
              <w:rPr>
                <w:rFonts w:hint="eastAsia" w:ascii="宋体" w:hAnsi="宋体" w:cs="Times New Roman"/>
                <w:color w:val="auto"/>
                <w:kern w:val="0"/>
                <w:sz w:val="24"/>
                <w:lang w:val="en-US" w:eastAsia="zh-CN"/>
              </w:rPr>
              <w:t>动力电源：380V,三相五线制,50HZ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880" w:type="dxa"/>
            <w:gridSpan w:val="2"/>
            <w:vMerge w:val="continue"/>
            <w:noWrap w:val="0"/>
            <w:vAlign w:val="center"/>
          </w:tcPr>
          <w:p>
            <w:pPr>
              <w:widowControl/>
              <w:jc w:val="center"/>
              <w:rPr>
                <w:rFonts w:ascii="宋体" w:hAnsi="宋体"/>
                <w:color w:val="auto"/>
                <w:kern w:val="0"/>
                <w:sz w:val="24"/>
              </w:rPr>
            </w:pPr>
          </w:p>
        </w:tc>
        <w:tc>
          <w:tcPr>
            <w:tcW w:w="5334" w:type="dxa"/>
            <w:noWrap w:val="0"/>
            <w:vAlign w:val="center"/>
          </w:tcPr>
          <w:p>
            <w:pPr>
              <w:jc w:val="both"/>
              <w:rPr>
                <w:rFonts w:hint="eastAsia" w:ascii="宋体" w:hAnsi="宋体" w:cs="Times New Roman"/>
                <w:color w:val="auto"/>
                <w:kern w:val="0"/>
                <w:sz w:val="24"/>
                <w:lang w:val="en-US" w:eastAsia="zh-CN"/>
              </w:rPr>
            </w:pPr>
            <w:r>
              <w:rPr>
                <w:rFonts w:hint="eastAsia" w:ascii="宋体" w:hAnsi="宋体" w:cs="Times New Roman"/>
                <w:color w:val="auto"/>
                <w:kern w:val="0"/>
                <w:sz w:val="24"/>
                <w:lang w:val="en-US" w:eastAsia="zh-CN"/>
              </w:rPr>
              <w:t>电 压 差：±7%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3880" w:type="dxa"/>
            <w:gridSpan w:val="2"/>
            <w:vMerge w:val="continue"/>
            <w:noWrap w:val="0"/>
            <w:vAlign w:val="center"/>
          </w:tcPr>
          <w:p>
            <w:pPr>
              <w:widowControl/>
              <w:jc w:val="center"/>
              <w:rPr>
                <w:rFonts w:ascii="宋体" w:hAnsi="宋体"/>
                <w:color w:val="auto"/>
                <w:kern w:val="0"/>
                <w:sz w:val="24"/>
              </w:rPr>
            </w:pPr>
          </w:p>
        </w:tc>
        <w:tc>
          <w:tcPr>
            <w:tcW w:w="5334" w:type="dxa"/>
            <w:noWrap w:val="0"/>
            <w:vAlign w:val="center"/>
          </w:tcPr>
          <w:p>
            <w:pPr>
              <w:jc w:val="both"/>
              <w:rPr>
                <w:rFonts w:hint="default" w:ascii="宋体" w:hAnsi="宋体" w:cs="Times New Roman"/>
                <w:color w:val="auto"/>
                <w:kern w:val="0"/>
                <w:sz w:val="24"/>
                <w:lang w:val="en-US" w:eastAsia="zh-CN"/>
              </w:rPr>
            </w:pPr>
            <w:r>
              <w:rPr>
                <w:rFonts w:hint="eastAsia" w:ascii="宋体" w:hAnsi="宋体" w:cs="Times New Roman"/>
                <w:color w:val="auto"/>
                <w:kern w:val="0"/>
                <w:sz w:val="24"/>
                <w:lang w:val="en-US" w:eastAsia="zh-CN"/>
              </w:rPr>
              <w:t>照明及信号电源：220V,50HZ</w:t>
            </w:r>
          </w:p>
        </w:tc>
      </w:tr>
    </w:tbl>
    <w:p>
      <w:pPr>
        <w:rPr>
          <w:rFonts w:ascii="宋体" w:hAnsi="宋体"/>
          <w:color w:val="auto"/>
        </w:rPr>
      </w:pPr>
    </w:p>
    <w:tbl>
      <w:tblPr>
        <w:tblStyle w:val="4"/>
        <w:tblW w:w="9195"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565"/>
        <w:gridCol w:w="663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tblHeader/>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cs="Arial"/>
                <w:b/>
                <w:bCs/>
                <w:color w:val="auto"/>
                <w:kern w:val="2"/>
                <w:szCs w:val="24"/>
                <w:lang w:val="en-US" w:eastAsia="zh-CN"/>
              </w:rPr>
            </w:pPr>
            <w:r>
              <w:rPr>
                <w:rFonts w:hint="eastAsia" w:ascii="宋体" w:hAnsi="宋体" w:cs="Arial"/>
                <w:b/>
                <w:bCs/>
                <w:color w:val="auto"/>
                <w:kern w:val="2"/>
                <w:szCs w:val="24"/>
                <w:lang w:val="en-US" w:eastAsia="zh-CN"/>
              </w:rPr>
              <w:t>功能名称</w:t>
            </w:r>
          </w:p>
        </w:tc>
        <w:tc>
          <w:tcPr>
            <w:tcW w:w="6630" w:type="dxa"/>
            <w:noWrap w:val="0"/>
            <w:vAlign w:val="center"/>
          </w:tcPr>
          <w:p>
            <w:pPr>
              <w:pStyle w:val="7"/>
              <w:tabs>
                <w:tab w:val="left" w:pos="6521"/>
                <w:tab w:val="left" w:pos="7797"/>
                <w:tab w:val="left" w:pos="8931"/>
              </w:tabs>
              <w:spacing w:before="40" w:after="40"/>
              <w:ind w:left="0"/>
              <w:jc w:val="center"/>
              <w:rPr>
                <w:rFonts w:hint="eastAsia" w:ascii="宋体" w:hAnsi="宋体" w:cs="Arial"/>
                <w:b/>
                <w:bCs/>
                <w:color w:val="auto"/>
                <w:kern w:val="2"/>
                <w:szCs w:val="24"/>
                <w:lang w:val="en-US" w:eastAsia="zh-CN"/>
              </w:rPr>
            </w:pPr>
            <w:r>
              <w:rPr>
                <w:rFonts w:hint="eastAsia" w:ascii="宋体" w:hAnsi="宋体" w:cs="Arial"/>
                <w:b/>
                <w:bCs/>
                <w:color w:val="auto"/>
                <w:kern w:val="2"/>
                <w:szCs w:val="24"/>
                <w:lang w:val="en-US" w:eastAsia="zh-CN"/>
              </w:rPr>
              <w:t>功能说明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无呼自返</w:t>
            </w:r>
          </w:p>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基站功能</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单台电梯时，可根据大楼实际需求设定运行基站，在预定时间内如果没有召唤或指令登记，轿厢将自动返回基站，关门待机，基站一般设在交通流量大的楼层或一楼大厅。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设置厅、轿门时间</w:t>
            </w:r>
          </w:p>
        </w:tc>
        <w:tc>
          <w:tcPr>
            <w:tcW w:w="6630" w:type="dxa"/>
            <w:noWrap w:val="0"/>
            <w:vAlign w:val="center"/>
          </w:tcPr>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响应门厅呼梯开门的时间和响应轿内指令而开门的时间是不一样的，并可以单独设定</w:t>
            </w:r>
            <w:r>
              <w:rPr>
                <w:rFonts w:hint="eastAsia" w:ascii="宋体" w:hAnsi="宋体" w:eastAsia="宋体" w:cs="宋体"/>
                <w:color w:val="auto"/>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关门时间</w:t>
            </w:r>
          </w:p>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保护</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当电梯由于机械卡阻等原因导致不能开门到位超过预定时间，电梯重复三次关门后，未侦测到门关闭信号，电梯会自动进入保护状态，当电梯监测到门已正常关闭时，电梯将恢复正常操作。</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开、关门按钮</w:t>
            </w:r>
          </w:p>
        </w:tc>
        <w:tc>
          <w:tcPr>
            <w:tcW w:w="6630" w:type="dxa"/>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电梯轿厢操纵面板上设有控制开关门的微动按钮，以方便乘客根据需要灵活掌握开关门的时间。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紧急消防</w:t>
            </w:r>
          </w:p>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操作</w:t>
            </w:r>
          </w:p>
        </w:tc>
        <w:tc>
          <w:tcPr>
            <w:tcW w:w="6630" w:type="dxa"/>
            <w:noWrap w:val="0"/>
            <w:vAlign w:val="center"/>
          </w:tcPr>
          <w:p>
            <w:pPr>
              <w:rPr>
                <w:rFonts w:hint="eastAsia" w:ascii="宋体" w:hAnsi="宋体" w:eastAsia="宋体" w:cs="宋体"/>
                <w:b/>
                <w:color w:val="auto"/>
                <w:sz w:val="21"/>
                <w:szCs w:val="21"/>
              </w:rPr>
            </w:pPr>
            <w:r>
              <w:rPr>
                <w:rFonts w:hint="eastAsia" w:ascii="宋体" w:hAnsi="宋体" w:eastAsia="宋体" w:cs="宋体"/>
                <w:color w:val="auto"/>
                <w:sz w:val="21"/>
                <w:szCs w:val="21"/>
              </w:rPr>
              <w:t>大楼发生火警时，系统在接收到火警信号后，将取消所有指令和召唤信号，驱动电梯直接返回消防层，开门疏散乘客。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轿内紧急</w:t>
            </w:r>
          </w:p>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照明</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当照明电源发生故障时，自动为轿内的照明提供可再充电的应急电源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全集选控制</w:t>
            </w:r>
          </w:p>
        </w:tc>
        <w:tc>
          <w:tcPr>
            <w:tcW w:w="6630" w:type="dxa"/>
            <w:noWrap w:val="0"/>
            <w:vAlign w:val="center"/>
          </w:tcPr>
          <w:p>
            <w:pPr>
              <w:pStyle w:val="3"/>
              <w:rPr>
                <w:rFonts w:hint="eastAsia" w:ascii="宋体" w:hAnsi="宋体" w:eastAsia="宋体" w:cs="宋体"/>
                <w:color w:val="auto"/>
                <w:sz w:val="21"/>
                <w:szCs w:val="21"/>
              </w:rPr>
            </w:pPr>
            <w:r>
              <w:rPr>
                <w:rFonts w:hint="eastAsia" w:ascii="宋体" w:hAnsi="宋体" w:eastAsia="宋体" w:cs="宋体"/>
                <w:color w:val="auto"/>
                <w:sz w:val="21"/>
                <w:szCs w:val="21"/>
              </w:rPr>
              <w:t>所有登记的轿厢和门厅呼梯指令，将按照电梯到达层站的顺序全部被响应。轿厢的运行方向将由第一次登记的轿厢和门厅呼梯指令来确定。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厅和轿厢</w:t>
            </w:r>
          </w:p>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数字式位置</w:t>
            </w:r>
          </w:p>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指示器</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在轿内的操纵面板及每层楼的大厅召唤盒上以数字方式显示电梯所在层站，以方便乘客了解电梯当前运行位置。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厅和轿厢</w:t>
            </w:r>
          </w:p>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呼梯/登记</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登记门厅和轿厢内的呼梯指令，并存储，此时按钮灯点亮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厅及轿厢运行方向显示</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门厅或轿厢内显示电梯运行方向的指示器，可以是静态或动态的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监控室与机房、轿厢对讲（不含机房到监控室连线）</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可提供监控室与机房、轿厢（轿顶、底坑）的对讲，其中监控室为母机，可根据客户需求提供一对一或一对多方式。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独立服务</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启动位于轿厢操纵箱内的专用开关，电梯将脱离群控，独立运行，并只响应电梯的轿内操作。</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满载不停梯</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当轿厢内载荷达到满载预设值时，即进入满载直驶状态，电梯将不再应答厅外召唤而直接响应轿内指令直达指定楼层。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超载不启动</w:t>
            </w:r>
          </w:p>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(警示灯及蜂鸣器)</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当轿厢的载重量超出额定允许的载重时，超载蜂鸣器会鸣响以提示超载。此时显示超载，轿厢不关门，电梯不能起动。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运行次数</w:t>
            </w:r>
          </w:p>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显示功能</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为方便维护保养，在电梯控制柜内设置计数器用来统计电梯总共运行的次数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轿顶与控制柜</w:t>
            </w:r>
          </w:p>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紧急电动运行</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在轿顶、机房放置检修操作开关，检修按钮和急停装置，轿顶检修优先机房检修，在检修操作开始后，除了响应检修相关的操作，轿厢禁止响应其他操作而移动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轿内通风手动及照明自动控制功能</w:t>
            </w:r>
          </w:p>
        </w:tc>
        <w:tc>
          <w:tcPr>
            <w:tcW w:w="6630" w:type="dxa"/>
            <w:noWrap w:val="0"/>
            <w:vAlign w:val="center"/>
          </w:tcPr>
          <w:p>
            <w:pPr>
              <w:pStyle w:val="2"/>
              <w:rPr>
                <w:rFonts w:hint="eastAsia" w:ascii="宋体" w:hAnsi="宋体" w:eastAsia="宋体" w:cs="宋体"/>
                <w:color w:val="auto"/>
                <w:sz w:val="21"/>
                <w:szCs w:val="21"/>
              </w:rPr>
            </w:pPr>
            <w:r>
              <w:rPr>
                <w:rFonts w:hint="eastAsia" w:ascii="宋体" w:hAnsi="宋体" w:eastAsia="宋体" w:cs="宋体"/>
                <w:color w:val="auto"/>
                <w:sz w:val="21"/>
                <w:szCs w:val="21"/>
              </w:rPr>
              <w:t>可通过在轿厢控制屏上的开关手动操作风扇，照明是系统根据电梯的运行状况自动控制的。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故障自动检测功能</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自动检测电梯系统所发生的所有故障。</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警铃</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供在特殊情况下乘客通过按动轿厢内报警按钮，及时通知外界。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24"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光幕门保护装置</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门光幕保护系统在电梯门口形成了一个看不见的光幕保护安全网，一旦光线受到干扰，电梯门会立刻重新开启而不会碰到乘客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44"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误登陆取消</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乘客按下指令按钮被响应后，发现与实际要求不符，可在指令登记后连按2次错误指令的按钮，该登记的信号就被取消。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6"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驻停</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当不再需要使用电梯时，启动位于大厅的停梯开关，电梯将在响应完呼梯后自动返回到指定层并停梯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1"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自动开关门</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电梯停靠层站后自动开门，然后自动关门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1"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撞底缓冲装置</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在井道底部设置缓冲部件，保障乘客/货物的安全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1"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门区外不能开门</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当电梯不在开门区，开门机无法开门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6"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预转矩输出</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系统根据轿厢的载重预定输出转矩，使电梯实现平稳启动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81"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电网电压波动检测功能</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当电网电压波动太大，系统进入自保护状态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6"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接触器反馈检测功能</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当接触器故障，系统将记录故障并进入自保护状态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6"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继电器检查保护</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当继电器故障，系统将记录故障并进入自保护状态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96"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速度反馈检测功能</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当电梯运行速度异常，系统进入保护状态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41"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故障低速自救功能</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当电梯处于非检修状态下，且未停在平层区。此时只要符合启动的安全要求，电梯将自动以慢速运行至最近平层区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6"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反向指令自动消除</w:t>
            </w:r>
          </w:p>
        </w:tc>
        <w:tc>
          <w:tcPr>
            <w:tcW w:w="6630" w:type="dxa"/>
            <w:noWrap w:val="0"/>
            <w:vAlign w:val="center"/>
          </w:tcPr>
          <w:p>
            <w:pPr>
              <w:ind w:left="120" w:hanging="105" w:hangingChars="50"/>
              <w:rPr>
                <w:rFonts w:hint="eastAsia" w:ascii="宋体" w:hAnsi="宋体" w:eastAsia="宋体" w:cs="宋体"/>
                <w:color w:val="auto"/>
                <w:sz w:val="21"/>
                <w:szCs w:val="21"/>
              </w:rPr>
            </w:pPr>
            <w:r>
              <w:rPr>
                <w:rFonts w:hint="eastAsia" w:ascii="宋体" w:hAnsi="宋体" w:eastAsia="宋体" w:cs="宋体"/>
                <w:color w:val="auto"/>
                <w:sz w:val="21"/>
                <w:szCs w:val="21"/>
              </w:rPr>
              <w:t xml:space="preserve">若选择楼层与运行方向相反，自动取消该指令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6"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本层外召开门</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电梯正在关门或已关门但未启动时，若本层外召，则重新关门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41"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外召按钮嵌入自诊断</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若某一外召按钮按下持续时间超过20秒，系统则认为该按钮嵌入（不能复位），对该层外召不予登记。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6"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重复关门</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执行关门指令后，在规定的时间内门联锁回路没有接通时，重新开门后再关门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6"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不停层设置</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通过所设楼层时不停靠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待梯层设定</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在无司机状态、在一定时间内即无内选也无外召时，轿厢自动运行到待命层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楼层显示字符的任意设定</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通过控制柜内液晶显示器的按键操作任意设置各楼层的显示字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53"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输入口干扰评价</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系统可对输入信号进行评价并通过控制柜内液晶显示器显示出来，指示作业人员对井道线及随行电缆合理布线、妥善接地、从根本上消除因某些随行电缆及井道线与主控电脑板并行连接对主控电脑板输入产生干扰而造成的电梯层显串号、不平层等故障</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井道自学习</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检修状态下自下限位开关起向上运行至上限位开关止，测出各楼层的门区位置及井道开关位置的数据，并永久保存</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80"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逆向运行保护</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当系统检测到电梯连续3秒钟运行的方向与指令方向不一致时，就会立即紧急停车，故障报警，并在CUP复位前，禁止电梯一切动作</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防打滑保护</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系统检测到钢丝绳打滑将停止轿厢一切运行。并直到CUP复位才能恢复正常运行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68"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安全回路保护</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安全回路断开，电梯将立刻停止运行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68"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限位保护</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系统检测到限位开关动作，将立刻停止电梯运行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68"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上下极限保护装置</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系统检测到限位开关动作，整个系统将立刻断电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门连锁保护</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全部门连锁都闭合，电梯方能运行。如运行中门联锁断开或抖动，电梯将停止运行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运行接触器保护</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系统可检测电机回路接触器动作是否可靠。如发现异常，将停止电梯运行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抱闸检测保护</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通过抱闸臂检测开关对抱闸的打开与闭合实时监测。当抱闸未按要求打开时，系统将终止电梯启动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手动松闸救援</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非平衡状态下，远程手动松闸，慢速溜车，进入口区后自动报警，手动开门救援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95"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端站换速及楼层号校正</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系统在运行中检测到端站开关后，电梯将强迫换速并自动校正楼层显示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2565" w:type="dxa"/>
            <w:noWrap w:val="0"/>
            <w:vAlign w:val="center"/>
          </w:tcPr>
          <w:p>
            <w:pPr>
              <w:pStyle w:val="7"/>
              <w:tabs>
                <w:tab w:val="left" w:pos="6521"/>
                <w:tab w:val="left" w:pos="7797"/>
                <w:tab w:val="left" w:pos="8931"/>
              </w:tabs>
              <w:spacing w:before="40" w:after="40"/>
              <w:ind w:left="0"/>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手动选层</w:t>
            </w:r>
          </w:p>
        </w:tc>
        <w:tc>
          <w:tcPr>
            <w:tcW w:w="6630"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通过控制柜内液晶显示器的按键操作，进行内选登记</w:t>
            </w:r>
          </w:p>
        </w:tc>
      </w:tr>
    </w:tbl>
    <w:p>
      <w:pPr>
        <w:rPr>
          <w:rFonts w:ascii="宋体" w:hAnsi="宋体"/>
          <w:color w:val="auto"/>
        </w:rPr>
      </w:pPr>
    </w:p>
    <w:p>
      <w:pPr>
        <w:numPr>
          <w:ilvl w:val="0"/>
          <w:numId w:val="0"/>
        </w:numPr>
        <w:spacing w:line="360" w:lineRule="auto"/>
        <w:jc w:val="left"/>
        <w:rPr>
          <w:rFonts w:hint="eastAsia" w:ascii="宋体" w:hAnsi="宋体"/>
          <w:b/>
          <w:color w:val="auto"/>
          <w:sz w:val="24"/>
          <w:szCs w:val="24"/>
          <w:lang w:val="en-US" w:eastAsia="zh-CN"/>
        </w:rPr>
      </w:pPr>
      <w:r>
        <w:rPr>
          <w:rFonts w:hint="eastAsia" w:ascii="宋体" w:hAnsi="宋体"/>
          <w:b/>
          <w:color w:val="auto"/>
          <w:sz w:val="24"/>
          <w:szCs w:val="24"/>
          <w:lang w:val="en-US" w:eastAsia="zh-CN"/>
        </w:rPr>
        <w:t>2.钢结构井道</w:t>
      </w:r>
    </w:p>
    <w:p>
      <w:pPr>
        <w:rPr>
          <w:rFonts w:hint="eastAsia"/>
          <w:color w:val="auto"/>
          <w:lang w:val="en-US" w:eastAsia="zh-CN"/>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785"/>
        <w:gridCol w:w="1530"/>
        <w:gridCol w:w="1245"/>
        <w:gridCol w:w="975"/>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序号</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lang w:eastAsia="zh-CN"/>
              </w:rPr>
              <w:t>项目</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lang w:eastAsia="zh-CN"/>
              </w:rPr>
              <w:t>井道尺寸</w:t>
            </w:r>
            <w:r>
              <w:rPr>
                <w:rFonts w:hint="eastAsia" w:ascii="宋体" w:hAnsi="宋体" w:cs="宋体"/>
                <w:b/>
                <w:bCs/>
                <w:color w:val="auto"/>
                <w:sz w:val="24"/>
                <w:szCs w:val="24"/>
                <w:lang w:val="en-US" w:eastAsia="zh-CN"/>
              </w:rPr>
              <w:t>mm</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rPr>
              <w:t>层</w:t>
            </w:r>
            <w:r>
              <w:rPr>
                <w:rFonts w:hint="eastAsia" w:ascii="宋体" w:hAnsi="宋体" w:eastAsia="宋体" w:cs="宋体"/>
                <w:b/>
                <w:bCs/>
                <w:color w:val="auto"/>
                <w:sz w:val="24"/>
                <w:szCs w:val="24"/>
                <w:lang w:val="en-US" w:eastAsia="zh-CN"/>
              </w:rPr>
              <w:t>/站/门</w:t>
            </w: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数量</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层高mm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7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钢结构井道</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4"/>
                <w:szCs w:val="24"/>
                <w:lang w:val="en-US" w:eastAsia="zh-CN"/>
              </w:rPr>
            </w:pPr>
            <w:r>
              <w:rPr>
                <w:rFonts w:hint="eastAsia" w:ascii="宋体" w:hAnsi="宋体"/>
                <w:color w:val="auto"/>
                <w:kern w:val="0"/>
                <w:sz w:val="24"/>
                <w:lang w:val="en-US" w:eastAsia="zh-CN"/>
              </w:rPr>
              <w:t>2300</w:t>
            </w:r>
            <w:r>
              <w:rPr>
                <w:rFonts w:ascii="宋体" w:hAnsi="宋体"/>
                <w:color w:val="auto"/>
                <w:kern w:val="0"/>
                <w:sz w:val="24"/>
              </w:rPr>
              <w:t>*</w:t>
            </w:r>
            <w:r>
              <w:rPr>
                <w:rFonts w:hint="eastAsia" w:ascii="宋体" w:hAnsi="宋体"/>
                <w:color w:val="auto"/>
                <w:kern w:val="0"/>
                <w:sz w:val="24"/>
                <w:lang w:val="en-US" w:eastAsia="zh-CN"/>
              </w:rPr>
              <w:t>1800</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6/5/5</w:t>
            </w:r>
          </w:p>
        </w:tc>
        <w:tc>
          <w:tcPr>
            <w:tcW w:w="9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p>
        </w:tc>
        <w:tc>
          <w:tcPr>
            <w:tcW w:w="286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kern w:val="0"/>
                <w:sz w:val="24"/>
                <w:lang w:val="en-US" w:eastAsia="zh-CN"/>
              </w:rPr>
            </w:pPr>
            <w:r>
              <w:rPr>
                <w:rFonts w:hint="eastAsia" w:ascii="宋体" w:hAnsi="宋体"/>
                <w:color w:val="auto"/>
                <w:kern w:val="0"/>
                <w:sz w:val="24"/>
                <w:lang w:val="en-US" w:eastAsia="zh-CN"/>
              </w:rPr>
              <w:t>1F:4500,2F:4200,</w:t>
            </w:r>
          </w:p>
          <w:p>
            <w:pPr>
              <w:jc w:val="left"/>
              <w:rPr>
                <w:rFonts w:hint="eastAsia" w:ascii="宋体" w:hAnsi="宋体" w:cs="宋体"/>
                <w:color w:val="auto"/>
                <w:sz w:val="24"/>
                <w:szCs w:val="24"/>
                <w:lang w:val="en-US" w:eastAsia="zh-CN"/>
              </w:rPr>
            </w:pPr>
            <w:r>
              <w:rPr>
                <w:rFonts w:hint="eastAsia" w:ascii="宋体" w:hAnsi="宋体"/>
                <w:color w:val="auto"/>
                <w:kern w:val="0"/>
                <w:sz w:val="24"/>
                <w:lang w:val="en-US" w:eastAsia="zh-CN"/>
              </w:rPr>
              <w:t>3F、4F、5F:3600,6F:4500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宋体"/>
    <w:panose1 w:val="00000000000000000000"/>
    <w:charset w:val="86"/>
    <w:family w:val="roman"/>
    <w:pitch w:val="default"/>
    <w:sig w:usb0="00000000" w:usb1="00000000" w:usb2="00000010" w:usb3="00000000" w:csb0="00040000" w:csb1="00000000"/>
  </w:font>
  <w:font w:name="仿宋">
    <w:panose1 w:val="02010609060101010101"/>
    <w:charset w:val="7A"/>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xMzIwYzBlMGUzZjEzYjIxMWYxNDk1ODY2MWZjZDMifQ=="/>
  </w:docVars>
  <w:rsids>
    <w:rsidRoot w:val="00000000"/>
    <w:rsid w:val="0F2177C1"/>
    <w:rsid w:val="113A2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both"/>
      <w:textAlignment w:val="baseline"/>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eastAsia="宋体" w:cs="Times New Roman"/>
      <w:kern w:val="2"/>
      <w:sz w:val="21"/>
      <w:szCs w:val="24"/>
    </w:rPr>
  </w:style>
  <w:style w:type="paragraph" w:styleId="3">
    <w:name w:val="Balloon Text"/>
    <w:basedOn w:val="1"/>
    <w:qFormat/>
    <w:uiPriority w:val="0"/>
    <w:rPr>
      <w:rFonts w:ascii="Times New Roman" w:hAnsi="Times New Roman" w:eastAsia="宋体" w:cs="Times New Roman"/>
      <w:sz w:val="18"/>
      <w:szCs w:val="18"/>
    </w:rPr>
  </w:style>
  <w:style w:type="paragraph" w:customStyle="1" w:styleId="6">
    <w:name w:val="Default"/>
    <w:autoRedefine/>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7">
    <w:name w:val="retrait3"/>
    <w:basedOn w:val="1"/>
    <w:autoRedefine/>
    <w:qFormat/>
    <w:uiPriority w:val="0"/>
    <w:pPr>
      <w:widowControl/>
      <w:spacing w:before="20" w:beforeLines="0" w:after="20" w:afterLines="0"/>
      <w:ind w:left="851"/>
      <w:jc w:val="left"/>
    </w:pPr>
    <w:rPr>
      <w:rFonts w:ascii="Arial" w:hAnsi="Arial" w:eastAsia="宋体" w:cs="Times New Roman"/>
      <w:kern w:val="0"/>
      <w:sz w:val="24"/>
      <w:lang w:val="en-GB"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2024-01-26T07:42:00Z</dcterms:created>
  <dc:creator>Administrator</dc:creator>
  <cp:lastModifiedBy>批注</cp:lastModifiedBy>
  <dcterms:modified xsi:type="dcterms:W3CDTF">2024-01-29T06:44:01Z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0D5CAD57D6254E5293D7338AE24339FA_12</vt:lpwstr>
  </property>
</Properties>
</file>