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480"/>
        <w:jc w:val="center"/>
        <w:rPr>
          <w:rFonts w:hint="eastAsia"/>
          <w:b/>
          <w:sz w:val="36"/>
          <w:lang w:val="en-US" w:eastAsia="zh-CN"/>
        </w:rPr>
      </w:pPr>
      <w:r>
        <w:rPr>
          <w:rFonts w:hint="eastAsia"/>
          <w:b/>
          <w:sz w:val="36"/>
          <w:lang w:val="en-US" w:eastAsia="zh-CN"/>
        </w:rPr>
        <w:t>采购需求</w:t>
      </w:r>
    </w:p>
    <w:p>
      <w:pPr>
        <w:pStyle w:val="5"/>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ind w:firstLine="480"/>
      </w:pPr>
      <w:r>
        <w:t xml:space="preserve"> （注：当采购包的评标方法为最低评标</w:t>
      </w:r>
      <w:bookmarkStart w:id="0" w:name="_GoBack"/>
      <w:bookmarkEnd w:id="0"/>
      <w:r>
        <w:t>价法时带“★”的参数需求为实质性要求，供应商必须响应并满足的参数需求，采购人、采购代理机构应当根据项目实际需求合理设定，并明确具体要求。）</w:t>
      </w:r>
    </w:p>
    <w:p>
      <w:pPr>
        <w:pStyle w:val="5"/>
        <w:outlineLvl w:val="2"/>
      </w:pPr>
      <w:r>
        <w:rPr>
          <w:b/>
          <w:sz w:val="28"/>
        </w:rPr>
        <w:t>3.1采购项目概况</w:t>
      </w:r>
    </w:p>
    <w:p>
      <w:pPr>
        <w:pStyle w:val="5"/>
        <w:ind w:firstLine="480"/>
      </w:pPr>
    </w:p>
    <w:p>
      <w:pPr>
        <w:pStyle w:val="5"/>
      </w:pPr>
    </w:p>
    <w:p>
      <w:pPr>
        <w:pStyle w:val="5"/>
      </w:pPr>
      <w:r>
        <w:t>本项目共1个包，成都市双流区黄龙溪镇卫生院因工作需要，拟采购2024年基本公共卫生辅助服务供应商一名。</w:t>
      </w:r>
    </w:p>
    <w:p>
      <w:pPr>
        <w:pStyle w:val="5"/>
        <w:outlineLvl w:val="2"/>
      </w:pPr>
      <w:r>
        <w:rPr>
          <w:b/>
          <w:sz w:val="28"/>
        </w:rPr>
        <w:t>3.2服务内容及服务要求</w:t>
      </w:r>
    </w:p>
    <w:p>
      <w:pPr>
        <w:pStyle w:val="5"/>
        <w:outlineLvl w:val="3"/>
      </w:pPr>
      <w:r>
        <w:rPr>
          <w:b/>
          <w:sz w:val="24"/>
        </w:rPr>
        <w:t>3.2.1服务内容</w:t>
      </w:r>
    </w:p>
    <w:p>
      <w:pPr>
        <w:pStyle w:val="5"/>
      </w:pPr>
    </w:p>
    <w:p>
      <w:pPr>
        <w:pStyle w:val="5"/>
      </w:pPr>
    </w:p>
    <w:p>
      <w:pPr>
        <w:pStyle w:val="5"/>
      </w:pPr>
      <w:r>
        <w:t>采购包1：</w:t>
      </w:r>
    </w:p>
    <w:p>
      <w:pPr>
        <w:pStyle w:val="5"/>
      </w:pPr>
      <w:r>
        <w:t>采购包预算金额（元）: 717,600.00</w:t>
      </w:r>
    </w:p>
    <w:p>
      <w:pPr>
        <w:pStyle w:val="5"/>
      </w:pPr>
      <w:r>
        <w:t>采购包最高限价（元）: 681,600.00</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5"/>
            </w:pPr>
            <w:r>
              <w:t>序号</w:t>
            </w:r>
          </w:p>
        </w:tc>
        <w:tc>
          <w:tcPr>
            <w:tcW w:w="1271" w:type="dxa"/>
          </w:tcPr>
          <w:p>
            <w:pPr>
              <w:pStyle w:val="5"/>
            </w:pPr>
            <w:r>
              <w:t>标的名称</w:t>
            </w:r>
          </w:p>
        </w:tc>
        <w:tc>
          <w:tcPr>
            <w:tcW w:w="848" w:type="dxa"/>
          </w:tcPr>
          <w:p>
            <w:pPr>
              <w:pStyle w:val="5"/>
            </w:pPr>
            <w:r>
              <w:t>数量</w:t>
            </w:r>
          </w:p>
        </w:tc>
        <w:tc>
          <w:tcPr>
            <w:tcW w:w="1356" w:type="dxa"/>
          </w:tcPr>
          <w:p>
            <w:pPr>
              <w:pStyle w:val="5"/>
            </w:pPr>
            <w:r>
              <w:t>标的金额 （元）</w:t>
            </w:r>
          </w:p>
        </w:tc>
        <w:tc>
          <w:tcPr>
            <w:tcW w:w="678" w:type="dxa"/>
          </w:tcPr>
          <w:p>
            <w:pPr>
              <w:pStyle w:val="5"/>
            </w:pPr>
            <w:r>
              <w:t>计量单位</w:t>
            </w:r>
          </w:p>
        </w:tc>
        <w:tc>
          <w:tcPr>
            <w:tcW w:w="678" w:type="dxa"/>
          </w:tcPr>
          <w:p>
            <w:pPr>
              <w:pStyle w:val="5"/>
            </w:pPr>
            <w:r>
              <w:t>所属行业</w:t>
            </w:r>
          </w:p>
        </w:tc>
        <w:tc>
          <w:tcPr>
            <w:tcW w:w="593" w:type="dxa"/>
          </w:tcPr>
          <w:p>
            <w:pPr>
              <w:pStyle w:val="5"/>
            </w:pPr>
            <w:r>
              <w:t>是否涉及核心产品</w:t>
            </w:r>
          </w:p>
        </w:tc>
        <w:tc>
          <w:tcPr>
            <w:tcW w:w="678" w:type="dxa"/>
          </w:tcPr>
          <w:p>
            <w:pPr>
              <w:pStyle w:val="5"/>
            </w:pPr>
            <w:r>
              <w:t>是否涉及采购进口产品</w:t>
            </w:r>
          </w:p>
        </w:tc>
        <w:tc>
          <w:tcPr>
            <w:tcW w:w="678" w:type="dxa"/>
          </w:tcPr>
          <w:p>
            <w:pPr>
              <w:pStyle w:val="5"/>
            </w:pPr>
            <w:r>
              <w:t>是否涉及采购节能产品</w:t>
            </w:r>
          </w:p>
        </w:tc>
        <w:tc>
          <w:tcPr>
            <w:tcW w:w="848" w:type="dxa"/>
          </w:tcPr>
          <w:p>
            <w:pPr>
              <w:pStyle w:val="5"/>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5"/>
            </w:pPr>
            <w:r>
              <w:t>1</w:t>
            </w:r>
          </w:p>
        </w:tc>
        <w:tc>
          <w:tcPr>
            <w:tcW w:w="1271" w:type="dxa"/>
          </w:tcPr>
          <w:p>
            <w:pPr>
              <w:pStyle w:val="5"/>
            </w:pPr>
            <w:r>
              <w:t>成都市双流区黄龙溪镇卫生院2024年基本公共卫生辅助服务项目</w:t>
            </w:r>
          </w:p>
        </w:tc>
        <w:tc>
          <w:tcPr>
            <w:tcW w:w="848" w:type="dxa"/>
          </w:tcPr>
          <w:p>
            <w:pPr>
              <w:pStyle w:val="5"/>
              <w:jc w:val="right"/>
            </w:pPr>
            <w:r>
              <w:t>1.00</w:t>
            </w:r>
          </w:p>
        </w:tc>
        <w:tc>
          <w:tcPr>
            <w:tcW w:w="1356" w:type="dxa"/>
          </w:tcPr>
          <w:p>
            <w:pPr>
              <w:pStyle w:val="5"/>
              <w:jc w:val="right"/>
            </w:pPr>
            <w:r>
              <w:t>681,600.00</w:t>
            </w:r>
          </w:p>
        </w:tc>
        <w:tc>
          <w:tcPr>
            <w:tcW w:w="678" w:type="dxa"/>
          </w:tcPr>
          <w:p>
            <w:pPr>
              <w:pStyle w:val="5"/>
            </w:pPr>
            <w:r>
              <w:t>项</w:t>
            </w:r>
          </w:p>
        </w:tc>
        <w:tc>
          <w:tcPr>
            <w:tcW w:w="678" w:type="dxa"/>
          </w:tcPr>
          <w:p>
            <w:pPr>
              <w:pStyle w:val="5"/>
            </w:pPr>
            <w:r>
              <w:t>其他未列明行业</w:t>
            </w:r>
          </w:p>
        </w:tc>
        <w:tc>
          <w:tcPr>
            <w:tcW w:w="593" w:type="dxa"/>
          </w:tcPr>
          <w:p>
            <w:pPr>
              <w:pStyle w:val="5"/>
            </w:pPr>
            <w:r>
              <w:t>否</w:t>
            </w:r>
          </w:p>
        </w:tc>
        <w:tc>
          <w:tcPr>
            <w:tcW w:w="678" w:type="dxa"/>
          </w:tcPr>
          <w:p>
            <w:pPr>
              <w:pStyle w:val="5"/>
            </w:pPr>
            <w:r>
              <w:t>否</w:t>
            </w:r>
          </w:p>
        </w:tc>
        <w:tc>
          <w:tcPr>
            <w:tcW w:w="678" w:type="dxa"/>
          </w:tcPr>
          <w:p>
            <w:pPr>
              <w:pStyle w:val="5"/>
            </w:pPr>
            <w:r>
              <w:t>否</w:t>
            </w:r>
          </w:p>
        </w:tc>
        <w:tc>
          <w:tcPr>
            <w:tcW w:w="848" w:type="dxa"/>
          </w:tcPr>
          <w:p>
            <w:pPr>
              <w:pStyle w:val="5"/>
            </w:pPr>
            <w:r>
              <w:t>否</w:t>
            </w:r>
          </w:p>
        </w:tc>
      </w:tr>
    </w:tbl>
    <w:p>
      <w:pPr>
        <w:pStyle w:val="5"/>
        <w:outlineLvl w:val="3"/>
      </w:pPr>
      <w:r>
        <w:rPr>
          <w:b/>
          <w:sz w:val="24"/>
        </w:rPr>
        <w:t>3.2.2服务要求</w:t>
      </w:r>
    </w:p>
    <w:p>
      <w:pPr>
        <w:pStyle w:val="5"/>
      </w:pPr>
    </w:p>
    <w:p>
      <w:pPr>
        <w:pStyle w:val="5"/>
      </w:pPr>
    </w:p>
    <w:p>
      <w:pPr>
        <w:pStyle w:val="5"/>
      </w:pPr>
    </w:p>
    <w:p>
      <w:pPr>
        <w:pStyle w:val="5"/>
      </w:pPr>
      <w:r>
        <w:t>采购包1：</w:t>
      </w:r>
    </w:p>
    <w:p>
      <w:pPr>
        <w:pStyle w:val="5"/>
      </w:pPr>
    </w:p>
    <w:p>
      <w:pPr>
        <w:pStyle w:val="5"/>
      </w:pPr>
      <w:r>
        <w:t>标的名称：成都市双流区黄龙溪镇卫生院2024年基本公共卫生辅助服务项目</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45"/>
        <w:gridCol w:w="737"/>
        <w:gridCol w:w="66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45" w:type="dxa"/>
          </w:tcPr>
          <w:p>
            <w:pPr>
              <w:pStyle w:val="5"/>
            </w:pPr>
            <w:r>
              <w:t xml:space="preserve"> 参数性质</w:t>
            </w:r>
          </w:p>
        </w:tc>
        <w:tc>
          <w:tcPr>
            <w:tcW w:w="737" w:type="dxa"/>
          </w:tcPr>
          <w:p>
            <w:pPr>
              <w:pStyle w:val="5"/>
            </w:pPr>
            <w:r>
              <w:t xml:space="preserve"> 序号</w:t>
            </w:r>
          </w:p>
        </w:tc>
        <w:tc>
          <w:tcPr>
            <w:tcW w:w="6640" w:type="dxa"/>
          </w:tcPr>
          <w:p>
            <w:pPr>
              <w:pStyle w:val="5"/>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45" w:type="dxa"/>
          </w:tcPr>
          <w:p/>
        </w:tc>
        <w:tc>
          <w:tcPr>
            <w:tcW w:w="737" w:type="dxa"/>
          </w:tcPr>
          <w:p>
            <w:pPr>
              <w:pStyle w:val="5"/>
            </w:pPr>
            <w:r>
              <w:t>1</w:t>
            </w:r>
          </w:p>
        </w:tc>
        <w:tc>
          <w:tcPr>
            <w:tcW w:w="6640" w:type="dxa"/>
          </w:tcPr>
          <w:p>
            <w:pPr>
              <w:pStyle w:val="5"/>
              <w:jc w:val="both"/>
            </w:pPr>
            <w:r>
              <w:rPr>
                <w:rFonts w:ascii="宋体" w:hAnsi="宋体" w:eastAsia="宋体" w:cs="宋体"/>
                <w:b/>
                <w:sz w:val="24"/>
              </w:rPr>
              <w:t>前提：本章中标注“★”的条款为实质性要求,不满足实质性要求的响应将被作为无效响应。</w:t>
            </w:r>
          </w:p>
          <w:p>
            <w:pPr>
              <w:pStyle w:val="5"/>
              <w:jc w:val="both"/>
            </w:pPr>
            <w:r>
              <w:rPr>
                <w:rFonts w:ascii="宋体" w:hAnsi="宋体" w:eastAsia="宋体" w:cs="宋体"/>
                <w:sz w:val="24"/>
              </w:rPr>
              <w:t>★一、服务内容及要求</w:t>
            </w:r>
          </w:p>
          <w:p>
            <w:pPr>
              <w:pStyle w:val="5"/>
              <w:jc w:val="both"/>
            </w:pPr>
            <w:r>
              <w:rPr>
                <w:rFonts w:ascii="宋体" w:hAnsi="宋体" w:eastAsia="宋体" w:cs="宋体"/>
                <w:b/>
                <w:sz w:val="24"/>
              </w:rPr>
              <w:t>（一）收费管理服务</w:t>
            </w:r>
          </w:p>
          <w:p>
            <w:pPr>
              <w:pStyle w:val="5"/>
              <w:ind w:firstLine="640"/>
              <w:jc w:val="both"/>
            </w:pPr>
            <w:r>
              <w:rPr>
                <w:rFonts w:ascii="宋体" w:hAnsi="宋体" w:eastAsia="宋体" w:cs="宋体"/>
                <w:sz w:val="24"/>
              </w:rPr>
              <w:t>1、服务时间</w:t>
            </w:r>
          </w:p>
          <w:p>
            <w:pPr>
              <w:pStyle w:val="5"/>
              <w:ind w:firstLine="640"/>
              <w:jc w:val="both"/>
            </w:pPr>
            <w:r>
              <w:rPr>
                <w:rFonts w:ascii="宋体" w:hAnsi="宋体" w:eastAsia="宋体" w:cs="宋体"/>
                <w:sz w:val="24"/>
              </w:rPr>
              <w:t>全年365天不间断提供服务。挂号收费入出院窗口2个（根据采购人业务要求进行配置）:要求24小时工作制（夜班制）;夏季工作时间上午8:00-12:00、下午13:30-17:00;冬季工作时间:上午8:30-12:00、下午 13:30-17:00、夜班时间均为：17:00-12:00（具体时间根据采购人工作需要进行调整）。</w:t>
            </w:r>
          </w:p>
          <w:p>
            <w:pPr>
              <w:pStyle w:val="5"/>
              <w:ind w:firstLine="640"/>
              <w:jc w:val="both"/>
            </w:pPr>
            <w:r>
              <w:rPr>
                <w:rFonts w:ascii="宋体" w:hAnsi="宋体" w:eastAsia="宋体" w:cs="宋体"/>
                <w:sz w:val="24"/>
              </w:rPr>
              <w:t>2、服务内容</w:t>
            </w:r>
          </w:p>
          <w:p>
            <w:pPr>
              <w:pStyle w:val="5"/>
              <w:ind w:firstLine="640"/>
              <w:jc w:val="both"/>
            </w:pPr>
            <w:r>
              <w:rPr>
                <w:rFonts w:ascii="宋体" w:hAnsi="宋体" w:eastAsia="宋体" w:cs="宋体"/>
                <w:sz w:val="24"/>
              </w:rPr>
              <w:t>2.1门诊挂号收费；</w:t>
            </w:r>
          </w:p>
          <w:p>
            <w:pPr>
              <w:pStyle w:val="5"/>
              <w:ind w:firstLine="640"/>
              <w:jc w:val="both"/>
            </w:pPr>
            <w:r>
              <w:rPr>
                <w:rFonts w:ascii="宋体" w:hAnsi="宋体" w:eastAsia="宋体" w:cs="宋体"/>
                <w:sz w:val="24"/>
              </w:rPr>
              <w:t>2.2城乡门诊统筹报销；</w:t>
            </w:r>
          </w:p>
          <w:p>
            <w:pPr>
              <w:pStyle w:val="5"/>
              <w:ind w:firstLine="640"/>
              <w:jc w:val="both"/>
            </w:pPr>
            <w:r>
              <w:rPr>
                <w:rFonts w:ascii="宋体" w:hAnsi="宋体" w:eastAsia="宋体" w:cs="宋体"/>
                <w:sz w:val="24"/>
              </w:rPr>
              <w:t>2.3入出院办理，医保登记、医保报账；</w:t>
            </w:r>
          </w:p>
          <w:p>
            <w:pPr>
              <w:pStyle w:val="5"/>
              <w:ind w:firstLine="640"/>
              <w:jc w:val="both"/>
            </w:pPr>
            <w:r>
              <w:rPr>
                <w:rFonts w:ascii="宋体" w:hAnsi="宋体" w:eastAsia="宋体" w:cs="宋体"/>
                <w:sz w:val="24"/>
              </w:rPr>
              <w:t>2.4特殊门诊办理及报账；</w:t>
            </w:r>
          </w:p>
          <w:p>
            <w:pPr>
              <w:pStyle w:val="5"/>
              <w:ind w:firstLine="640"/>
              <w:jc w:val="both"/>
            </w:pPr>
            <w:r>
              <w:rPr>
                <w:rFonts w:ascii="宋体" w:hAnsi="宋体" w:eastAsia="宋体" w:cs="宋体"/>
                <w:sz w:val="24"/>
              </w:rPr>
              <w:t>2.5每日收入汇总，现金收入需每日存入银行；</w:t>
            </w:r>
          </w:p>
          <w:p>
            <w:pPr>
              <w:pStyle w:val="5"/>
              <w:ind w:firstLine="640"/>
              <w:jc w:val="both"/>
            </w:pPr>
            <w:r>
              <w:rPr>
                <w:rFonts w:ascii="宋体" w:hAnsi="宋体" w:eastAsia="宋体" w:cs="宋体"/>
                <w:sz w:val="24"/>
              </w:rPr>
              <w:t>2.6其他报账类资料登记，各类报表汇总填报；</w:t>
            </w:r>
          </w:p>
          <w:p>
            <w:pPr>
              <w:pStyle w:val="5"/>
              <w:ind w:firstLine="640"/>
              <w:jc w:val="both"/>
            </w:pPr>
            <w:r>
              <w:rPr>
                <w:rFonts w:ascii="宋体" w:hAnsi="宋体" w:eastAsia="宋体" w:cs="宋体"/>
                <w:sz w:val="24"/>
              </w:rPr>
              <w:t>2.7各类收费发票、凭证、资料的保存、汇总；</w:t>
            </w:r>
          </w:p>
          <w:p>
            <w:pPr>
              <w:pStyle w:val="5"/>
              <w:ind w:firstLine="640"/>
              <w:jc w:val="both"/>
            </w:pPr>
            <w:r>
              <w:rPr>
                <w:rFonts w:ascii="宋体" w:hAnsi="宋体" w:eastAsia="宋体" w:cs="宋体"/>
                <w:sz w:val="24"/>
              </w:rPr>
              <w:t>2.8根据收费窗口需求配备人员；</w:t>
            </w:r>
          </w:p>
          <w:p>
            <w:pPr>
              <w:pStyle w:val="5"/>
              <w:ind w:firstLine="640"/>
              <w:jc w:val="both"/>
            </w:pPr>
            <w:r>
              <w:rPr>
                <w:rFonts w:ascii="宋体" w:hAnsi="宋体" w:eastAsia="宋体" w:cs="宋体"/>
                <w:sz w:val="24"/>
              </w:rPr>
              <w:t>2.9根据医院工作安排，完成值班值守工作等；</w:t>
            </w:r>
          </w:p>
          <w:p>
            <w:pPr>
              <w:pStyle w:val="5"/>
              <w:ind w:firstLine="640"/>
              <w:jc w:val="both"/>
            </w:pPr>
            <w:r>
              <w:rPr>
                <w:rFonts w:ascii="宋体" w:hAnsi="宋体" w:eastAsia="宋体" w:cs="宋体"/>
                <w:sz w:val="24"/>
              </w:rPr>
              <w:t>2.10诊间支付、自助一体机管理及相关票据录入等；</w:t>
            </w:r>
          </w:p>
          <w:p>
            <w:pPr>
              <w:pStyle w:val="5"/>
              <w:ind w:firstLine="640"/>
              <w:jc w:val="both"/>
            </w:pPr>
            <w:r>
              <w:rPr>
                <w:rFonts w:ascii="宋体" w:hAnsi="宋体" w:eastAsia="宋体" w:cs="宋体"/>
                <w:sz w:val="24"/>
              </w:rPr>
              <w:t>2.11其他临时性交办的收费室工作。</w:t>
            </w:r>
          </w:p>
          <w:p>
            <w:pPr>
              <w:pStyle w:val="5"/>
              <w:ind w:firstLine="640"/>
              <w:jc w:val="both"/>
            </w:pPr>
            <w:r>
              <w:rPr>
                <w:rFonts w:ascii="宋体" w:hAnsi="宋体" w:eastAsia="宋体" w:cs="宋体"/>
                <w:sz w:val="24"/>
              </w:rPr>
              <w:t>3、服务要求</w:t>
            </w:r>
          </w:p>
          <w:p>
            <w:pPr>
              <w:pStyle w:val="5"/>
              <w:ind w:firstLine="640"/>
              <w:jc w:val="both"/>
            </w:pPr>
            <w:r>
              <w:rPr>
                <w:rFonts w:ascii="宋体" w:hAnsi="宋体" w:eastAsia="宋体" w:cs="宋体"/>
                <w:sz w:val="24"/>
              </w:rPr>
              <w:t>3.1严格遵守国家的财经纪律和医院财务管理制度；</w:t>
            </w:r>
          </w:p>
          <w:p>
            <w:pPr>
              <w:pStyle w:val="5"/>
              <w:ind w:firstLine="640"/>
              <w:jc w:val="both"/>
            </w:pPr>
            <w:r>
              <w:rPr>
                <w:rFonts w:ascii="宋体" w:hAnsi="宋体" w:eastAsia="宋体" w:cs="宋体"/>
                <w:sz w:val="24"/>
              </w:rPr>
              <w:t>3.2严格执行财务部门指定的内部操作规程，熟悉收费和物价管理中的相关专业知识；</w:t>
            </w:r>
          </w:p>
          <w:p>
            <w:pPr>
              <w:pStyle w:val="5"/>
              <w:ind w:firstLine="640"/>
              <w:jc w:val="both"/>
            </w:pPr>
            <w:r>
              <w:rPr>
                <w:rFonts w:ascii="宋体" w:hAnsi="宋体" w:eastAsia="宋体" w:cs="宋体"/>
                <w:sz w:val="24"/>
              </w:rPr>
              <w:t>3.3严格按照规定的物价收费标准进行收费，准确掌握各项药品价格和医疗项目收费范围，做到正确收取款项，不漏收、不重收、不多收、不少收、不乱收、不错收。准确高效，减少病员排队等候时间；</w:t>
            </w:r>
          </w:p>
          <w:p>
            <w:pPr>
              <w:pStyle w:val="5"/>
              <w:ind w:firstLine="640"/>
              <w:jc w:val="both"/>
            </w:pPr>
            <w:r>
              <w:rPr>
                <w:rFonts w:ascii="宋体" w:hAnsi="宋体" w:eastAsia="宋体" w:cs="宋体"/>
                <w:sz w:val="24"/>
              </w:rPr>
              <w:t>3.4收取现金开具医院统一的票据，票据的书写或打印要清晰工整，能做到准确无误:收付现金要与病员或家属当面点清，开出票据，留有存根复核和备查；</w:t>
            </w:r>
          </w:p>
          <w:p>
            <w:pPr>
              <w:pStyle w:val="5"/>
              <w:ind w:firstLine="640"/>
              <w:jc w:val="both"/>
            </w:pPr>
            <w:r>
              <w:rPr>
                <w:rFonts w:ascii="宋体" w:hAnsi="宋体" w:eastAsia="宋体" w:cs="宋体"/>
                <w:sz w:val="24"/>
              </w:rPr>
              <w:t>3.5按时按规的做好采购人交办的任务。</w:t>
            </w:r>
          </w:p>
          <w:p>
            <w:pPr>
              <w:pStyle w:val="5"/>
              <w:jc w:val="both"/>
            </w:pPr>
            <w:r>
              <w:rPr>
                <w:rFonts w:ascii="宋体" w:hAnsi="宋体" w:eastAsia="宋体" w:cs="宋体"/>
                <w:b/>
                <w:sz w:val="24"/>
              </w:rPr>
              <w:t>（二）护理管理服务</w:t>
            </w:r>
          </w:p>
          <w:p>
            <w:pPr>
              <w:pStyle w:val="5"/>
              <w:ind w:firstLine="640"/>
              <w:jc w:val="both"/>
            </w:pPr>
            <w:r>
              <w:rPr>
                <w:rFonts w:ascii="宋体" w:hAnsi="宋体" w:eastAsia="宋体" w:cs="宋体"/>
                <w:sz w:val="24"/>
              </w:rPr>
              <w:t>1、基本医疗内容：</w:t>
            </w:r>
          </w:p>
          <w:p>
            <w:pPr>
              <w:pStyle w:val="5"/>
              <w:ind w:firstLine="640"/>
              <w:jc w:val="both"/>
            </w:pPr>
            <w:r>
              <w:rPr>
                <w:rFonts w:ascii="宋体" w:hAnsi="宋体" w:eastAsia="宋体" w:cs="宋体"/>
                <w:sz w:val="24"/>
              </w:rPr>
              <w:t>1.1获取患者身体健康状况的基础数据，记录患者的诊疗数据、在上级医、护、技等专技人员的指导下进行药物配给或治疗工具准备，并提交审核、协助做好患者回访、预约、观察等助理工作。</w:t>
            </w:r>
          </w:p>
          <w:p>
            <w:pPr>
              <w:pStyle w:val="5"/>
              <w:ind w:firstLine="640"/>
              <w:jc w:val="both"/>
            </w:pPr>
            <w:r>
              <w:rPr>
                <w:rFonts w:ascii="宋体" w:hAnsi="宋体" w:eastAsia="宋体" w:cs="宋体"/>
                <w:sz w:val="24"/>
              </w:rPr>
              <w:t>1.2清洁卫生：帮助老人清洁口腔，修剪指（趾）甲，洗头，洗澡，进行床上浴和整理仪表仪容；为老人更衣，更换床单，清洁轮椅，整理衣物，被服和鞋等个人物品。</w:t>
            </w:r>
          </w:p>
          <w:p>
            <w:pPr>
              <w:pStyle w:val="5"/>
              <w:ind w:firstLine="640"/>
              <w:jc w:val="both"/>
            </w:pPr>
            <w:r>
              <w:rPr>
                <w:rFonts w:ascii="宋体" w:hAnsi="宋体" w:eastAsia="宋体" w:cs="宋体"/>
                <w:sz w:val="24"/>
              </w:rPr>
              <w:t>1.3睡眠照料：帮助老人正常睡眠，分析造成非正常睡眠的一般原因并解决等。</w:t>
            </w:r>
          </w:p>
          <w:p>
            <w:pPr>
              <w:pStyle w:val="5"/>
              <w:ind w:firstLine="640"/>
              <w:jc w:val="both"/>
            </w:pPr>
            <w:r>
              <w:rPr>
                <w:rFonts w:ascii="宋体" w:hAnsi="宋体" w:eastAsia="宋体" w:cs="宋体"/>
                <w:sz w:val="24"/>
              </w:rPr>
              <w:t>1.4饮食照料：协助老人完成正常进食，协助老人完成正常饮水；为吞咽困难老人进食、给水等。</w:t>
            </w:r>
          </w:p>
          <w:p>
            <w:pPr>
              <w:pStyle w:val="5"/>
              <w:ind w:firstLine="640"/>
              <w:jc w:val="both"/>
            </w:pPr>
            <w:r>
              <w:rPr>
                <w:rFonts w:ascii="宋体" w:hAnsi="宋体" w:eastAsia="宋体" w:cs="宋体"/>
                <w:sz w:val="24"/>
              </w:rPr>
              <w:t>1.5排泄照料：协助老人正常如厕，帮助入厕困难老人排泄并清理大小便。</w:t>
            </w:r>
          </w:p>
          <w:p>
            <w:pPr>
              <w:pStyle w:val="5"/>
              <w:ind w:firstLine="640"/>
              <w:jc w:val="both"/>
            </w:pPr>
            <w:r>
              <w:rPr>
                <w:rFonts w:ascii="宋体" w:hAnsi="宋体" w:eastAsia="宋体" w:cs="宋体"/>
                <w:sz w:val="24"/>
              </w:rPr>
              <w:t>1.6安全照料：协助老人正确使用轮椅、拐杖等助行器；对老人进行扶抱搬移；正确使用老人其他保护器具；预防老人走失、摔伤、烫伤、互伤、噫食、触电、溺水等。</w:t>
            </w:r>
          </w:p>
          <w:p>
            <w:pPr>
              <w:pStyle w:val="5"/>
              <w:ind w:firstLine="640"/>
              <w:jc w:val="both"/>
            </w:pPr>
            <w:r>
              <w:rPr>
                <w:rFonts w:ascii="宋体" w:hAnsi="宋体" w:eastAsia="宋体" w:cs="宋体"/>
                <w:sz w:val="24"/>
              </w:rPr>
              <w:t>1.7注意事项：不打骂、虐待老人； 2小时为不能自理老人翻身一次，查看老人身体状况（如身体出现红点、压痕、破皮、褥疮、骨裂等等）出现任何意外首先通知负责人，由负责人直接通知家属。护理员每2小时巡视一次房间、老人有特殊要求、随叫随到。每天3餐由专人送饭、喂饭、喂饭结束及时清扫桌面、地面卫生收拾碗筷、倒垃圾。</w:t>
            </w:r>
          </w:p>
          <w:p>
            <w:pPr>
              <w:pStyle w:val="5"/>
              <w:jc w:val="both"/>
            </w:pPr>
            <w:r>
              <w:rPr>
                <w:rFonts w:ascii="宋体" w:hAnsi="宋体" w:eastAsia="宋体" w:cs="宋体"/>
                <w:b/>
                <w:sz w:val="24"/>
              </w:rPr>
              <w:t>（三）老年人健康管理服务</w:t>
            </w:r>
          </w:p>
          <w:p>
            <w:pPr>
              <w:pStyle w:val="5"/>
              <w:jc w:val="both"/>
            </w:pPr>
            <w:r>
              <w:rPr>
                <w:rFonts w:ascii="宋体" w:hAnsi="宋体" w:eastAsia="宋体" w:cs="宋体"/>
                <w:sz w:val="24"/>
              </w:rPr>
              <w:t>1、服务清单</w:t>
            </w:r>
          </w:p>
          <w:tbl>
            <w:tblPr>
              <w:tblStyle w:val="3"/>
              <w:tblW w:w="4999"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25"/>
              <w:gridCol w:w="1455"/>
              <w:gridCol w:w="1699"/>
              <w:gridCol w:w="1419"/>
              <w:gridCol w:w="92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pct"/>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序号</w:t>
                  </w:r>
                </w:p>
              </w:tc>
              <w:tc>
                <w:tcPr>
                  <w:tcW w:w="1132" w:type="pct"/>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项目</w:t>
                  </w:r>
                </w:p>
              </w:tc>
              <w:tc>
                <w:tcPr>
                  <w:tcW w:w="1322" w:type="pct"/>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工作内容</w:t>
                  </w:r>
                </w:p>
              </w:tc>
              <w:tc>
                <w:tcPr>
                  <w:tcW w:w="1104" w:type="pct"/>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预估服务量数量</w:t>
                  </w:r>
                </w:p>
              </w:tc>
              <w:tc>
                <w:tcPr>
                  <w:tcW w:w="720" w:type="pct"/>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pct"/>
                  <w:vMerge w:val="continue"/>
                  <w:tcBorders>
                    <w:top w:val="single" w:color="000000" w:sz="4" w:space="0"/>
                    <w:left w:val="single" w:color="000000" w:sz="4" w:space="0"/>
                    <w:bottom w:val="single" w:color="000000" w:sz="4" w:space="0"/>
                    <w:right w:val="single" w:color="000000" w:sz="4" w:space="0"/>
                  </w:tcBorders>
                </w:tcPr>
                <w:p/>
              </w:tc>
              <w:tc>
                <w:tcPr>
                  <w:tcW w:w="1132" w:type="pct"/>
                  <w:vMerge w:val="continue"/>
                  <w:tcBorders>
                    <w:top w:val="single" w:color="000000" w:sz="4" w:space="0"/>
                    <w:left w:val="single" w:color="000000" w:sz="4" w:space="0"/>
                    <w:bottom w:val="single" w:color="000000" w:sz="4" w:space="0"/>
                    <w:right w:val="single" w:color="000000" w:sz="4" w:space="0"/>
                  </w:tcBorders>
                </w:tcPr>
                <w:p/>
              </w:tc>
              <w:tc>
                <w:tcPr>
                  <w:tcW w:w="1322" w:type="pct"/>
                  <w:vMerge w:val="continue"/>
                  <w:tcBorders>
                    <w:top w:val="single" w:color="000000" w:sz="4" w:space="0"/>
                    <w:left w:val="single" w:color="000000" w:sz="4" w:space="0"/>
                    <w:bottom w:val="single" w:color="000000" w:sz="4" w:space="0"/>
                    <w:right w:val="single" w:color="000000" w:sz="4" w:space="0"/>
                  </w:tcBorders>
                </w:tcPr>
                <w:p/>
              </w:tc>
              <w:tc>
                <w:tcPr>
                  <w:tcW w:w="1104" w:type="pct"/>
                  <w:vMerge w:val="continue"/>
                  <w:tcBorders>
                    <w:top w:val="single" w:color="000000" w:sz="4" w:space="0"/>
                    <w:left w:val="single" w:color="000000" w:sz="4" w:space="0"/>
                    <w:bottom w:val="single" w:color="000000" w:sz="4" w:space="0"/>
                    <w:right w:val="single" w:color="000000" w:sz="4" w:space="0"/>
                  </w:tcBorders>
                </w:tcPr>
                <w:p/>
              </w:tc>
              <w:tc>
                <w:tcPr>
                  <w:tcW w:w="720" w:type="pct"/>
                  <w:vMerge w:val="continue"/>
                  <w:tcBorders>
                    <w:top w:val="single" w:color="000000" w:sz="4" w:space="0"/>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1</w:t>
                  </w:r>
                </w:p>
              </w:tc>
              <w:tc>
                <w:tcPr>
                  <w:tcW w:w="1132"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居民健康档案管理服务</w:t>
                  </w:r>
                </w:p>
              </w:tc>
              <w:tc>
                <w:tcPr>
                  <w:tcW w:w="13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新建居民健康档案</w:t>
                  </w:r>
                </w:p>
              </w:tc>
              <w:tc>
                <w:tcPr>
                  <w:tcW w:w="1104"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150</w:t>
                  </w:r>
                </w:p>
              </w:tc>
              <w:tc>
                <w:tcPr>
                  <w:tcW w:w="72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pct"/>
                  <w:vMerge w:val="continue"/>
                  <w:tcBorders>
                    <w:top w:val="nil"/>
                    <w:left w:val="single" w:color="000000" w:sz="4" w:space="0"/>
                    <w:bottom w:val="single" w:color="000000" w:sz="4" w:space="0"/>
                    <w:right w:val="single" w:color="000000" w:sz="4" w:space="0"/>
                  </w:tcBorders>
                </w:tcPr>
                <w:p/>
              </w:tc>
              <w:tc>
                <w:tcPr>
                  <w:tcW w:w="1132" w:type="pct"/>
                  <w:vMerge w:val="continue"/>
                  <w:tcBorders>
                    <w:top w:val="nil"/>
                    <w:left w:val="single" w:color="000000" w:sz="4" w:space="0"/>
                    <w:bottom w:val="single" w:color="000000" w:sz="4" w:space="0"/>
                    <w:right w:val="single" w:color="000000" w:sz="4" w:space="0"/>
                  </w:tcBorders>
                </w:tcPr>
                <w:p/>
              </w:tc>
              <w:tc>
                <w:tcPr>
                  <w:tcW w:w="13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更新居民健康档案</w:t>
                  </w:r>
                </w:p>
              </w:tc>
              <w:tc>
                <w:tcPr>
                  <w:tcW w:w="1104"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2000</w:t>
                  </w:r>
                </w:p>
              </w:tc>
              <w:tc>
                <w:tcPr>
                  <w:tcW w:w="72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pct"/>
                  <w:vMerge w:val="continue"/>
                  <w:tcBorders>
                    <w:top w:val="nil"/>
                    <w:left w:val="single" w:color="000000" w:sz="4" w:space="0"/>
                    <w:bottom w:val="single" w:color="000000" w:sz="4" w:space="0"/>
                    <w:right w:val="single" w:color="000000" w:sz="4" w:space="0"/>
                  </w:tcBorders>
                </w:tcPr>
                <w:p/>
              </w:tc>
              <w:tc>
                <w:tcPr>
                  <w:tcW w:w="1132" w:type="pct"/>
                  <w:vMerge w:val="continue"/>
                  <w:tcBorders>
                    <w:top w:val="nil"/>
                    <w:left w:val="single" w:color="000000" w:sz="4" w:space="0"/>
                    <w:bottom w:val="single" w:color="000000" w:sz="4" w:space="0"/>
                    <w:right w:val="single" w:color="000000" w:sz="4" w:space="0"/>
                  </w:tcBorders>
                </w:tcPr>
                <w:p/>
              </w:tc>
              <w:tc>
                <w:tcPr>
                  <w:tcW w:w="13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协助家庭医生签约档案核实、宣传</w:t>
                  </w:r>
                </w:p>
              </w:tc>
              <w:tc>
                <w:tcPr>
                  <w:tcW w:w="1104"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2000</w:t>
                  </w:r>
                </w:p>
              </w:tc>
              <w:tc>
                <w:tcPr>
                  <w:tcW w:w="72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人次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2</w:t>
                  </w:r>
                </w:p>
              </w:tc>
              <w:tc>
                <w:tcPr>
                  <w:tcW w:w="113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健康教育服务</w:t>
                  </w:r>
                </w:p>
              </w:tc>
              <w:tc>
                <w:tcPr>
                  <w:tcW w:w="13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国家基本公共卫生服</w:t>
                  </w:r>
                </w:p>
                <w:p>
                  <w:pPr>
                    <w:pStyle w:val="5"/>
                    <w:jc w:val="center"/>
                  </w:pPr>
                  <w:r>
                    <w:rPr>
                      <w:rFonts w:ascii="宋体" w:hAnsi="宋体" w:eastAsia="宋体" w:cs="宋体"/>
                      <w:color w:val="000000"/>
                      <w:sz w:val="24"/>
                    </w:rPr>
                    <w:t>务项目宣传</w:t>
                  </w:r>
                </w:p>
              </w:tc>
              <w:tc>
                <w:tcPr>
                  <w:tcW w:w="1104"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50</w:t>
                  </w:r>
                </w:p>
                <w:p>
                  <w:pPr>
                    <w:pStyle w:val="5"/>
                    <w:jc w:val="center"/>
                  </w:pPr>
                </w:p>
              </w:tc>
              <w:tc>
                <w:tcPr>
                  <w:tcW w:w="72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场次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3</w:t>
                  </w:r>
                </w:p>
              </w:tc>
              <w:tc>
                <w:tcPr>
                  <w:tcW w:w="113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老年人健康管理服务</w:t>
                  </w:r>
                </w:p>
              </w:tc>
              <w:tc>
                <w:tcPr>
                  <w:tcW w:w="13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65岁及以上老年人体检</w:t>
                  </w:r>
                </w:p>
              </w:tc>
              <w:tc>
                <w:tcPr>
                  <w:tcW w:w="1104"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500</w:t>
                  </w:r>
                </w:p>
                <w:p>
                  <w:pPr>
                    <w:pStyle w:val="5"/>
                    <w:jc w:val="center"/>
                  </w:pPr>
                </w:p>
              </w:tc>
              <w:tc>
                <w:tcPr>
                  <w:tcW w:w="72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4</w:t>
                  </w:r>
                </w:p>
              </w:tc>
              <w:tc>
                <w:tcPr>
                  <w:tcW w:w="1132"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慢性病患者健康管理</w:t>
                  </w:r>
                </w:p>
              </w:tc>
              <w:tc>
                <w:tcPr>
                  <w:tcW w:w="13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64岁及以下慢性病患者及高危人群体检</w:t>
                  </w:r>
                </w:p>
              </w:tc>
              <w:tc>
                <w:tcPr>
                  <w:tcW w:w="1104"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100</w:t>
                  </w:r>
                </w:p>
              </w:tc>
              <w:tc>
                <w:tcPr>
                  <w:tcW w:w="72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人次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pct"/>
                  <w:vMerge w:val="continue"/>
                  <w:tcBorders>
                    <w:top w:val="nil"/>
                    <w:left w:val="single" w:color="000000" w:sz="4" w:space="0"/>
                    <w:bottom w:val="single" w:color="000000" w:sz="4" w:space="0"/>
                    <w:right w:val="single" w:color="000000" w:sz="4" w:space="0"/>
                  </w:tcBorders>
                </w:tcPr>
                <w:p/>
              </w:tc>
              <w:tc>
                <w:tcPr>
                  <w:tcW w:w="1132" w:type="pct"/>
                  <w:vMerge w:val="continue"/>
                  <w:tcBorders>
                    <w:top w:val="nil"/>
                    <w:left w:val="single" w:color="000000" w:sz="4" w:space="0"/>
                    <w:bottom w:val="single" w:color="000000" w:sz="4" w:space="0"/>
                    <w:right w:val="single" w:color="000000" w:sz="4" w:space="0"/>
                  </w:tcBorders>
                </w:tcPr>
                <w:p/>
              </w:tc>
              <w:tc>
                <w:tcPr>
                  <w:tcW w:w="13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慢性病患者面对面随访管理</w:t>
                  </w:r>
                </w:p>
              </w:tc>
              <w:tc>
                <w:tcPr>
                  <w:tcW w:w="1104"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300</w:t>
                  </w:r>
                </w:p>
              </w:tc>
              <w:tc>
                <w:tcPr>
                  <w:tcW w:w="72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人次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pct"/>
                  <w:vMerge w:val="continue"/>
                  <w:tcBorders>
                    <w:top w:val="nil"/>
                    <w:left w:val="single" w:color="000000" w:sz="4" w:space="0"/>
                    <w:bottom w:val="single" w:color="000000" w:sz="4" w:space="0"/>
                    <w:right w:val="single" w:color="000000" w:sz="4" w:space="0"/>
                  </w:tcBorders>
                </w:tcPr>
                <w:p/>
              </w:tc>
              <w:tc>
                <w:tcPr>
                  <w:tcW w:w="1132" w:type="pct"/>
                  <w:vMerge w:val="continue"/>
                  <w:tcBorders>
                    <w:top w:val="nil"/>
                    <w:left w:val="single" w:color="000000" w:sz="4" w:space="0"/>
                    <w:bottom w:val="single" w:color="000000" w:sz="4" w:space="0"/>
                    <w:right w:val="single" w:color="000000" w:sz="4" w:space="0"/>
                  </w:tcBorders>
                </w:tcPr>
                <w:p/>
              </w:tc>
              <w:tc>
                <w:tcPr>
                  <w:tcW w:w="13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慢性病患者随访信息录入</w:t>
                  </w:r>
                </w:p>
              </w:tc>
              <w:tc>
                <w:tcPr>
                  <w:tcW w:w="1104"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300</w:t>
                  </w:r>
                </w:p>
              </w:tc>
              <w:tc>
                <w:tcPr>
                  <w:tcW w:w="72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份</w:t>
                  </w:r>
                </w:p>
              </w:tc>
            </w:tr>
          </w:tbl>
          <w:p>
            <w:pPr>
              <w:pStyle w:val="5"/>
              <w:ind w:firstLine="640"/>
              <w:jc w:val="both"/>
            </w:pPr>
            <w:r>
              <w:rPr>
                <w:rFonts w:ascii="宋体" w:hAnsi="宋体" w:eastAsia="宋体" w:cs="宋体"/>
                <w:color w:val="000000"/>
                <w:sz w:val="24"/>
              </w:rPr>
              <w:t>备注:居民健康档案管理服务过程中发现的死亡、迁出等不再纳入采购人居民健康档案管理的情况需上报采购人且不纳入中标供应商服务量结算。</w:t>
            </w:r>
          </w:p>
          <w:p>
            <w:pPr>
              <w:pStyle w:val="5"/>
              <w:ind w:firstLine="640"/>
              <w:jc w:val="both"/>
            </w:pPr>
            <w:r>
              <w:rPr>
                <w:rFonts w:ascii="宋体" w:hAnsi="宋体" w:eastAsia="宋体" w:cs="宋体"/>
                <w:sz w:val="24"/>
              </w:rPr>
              <w:t>2、服务内容与质量标准</w:t>
            </w:r>
          </w:p>
          <w:p>
            <w:pPr>
              <w:pStyle w:val="5"/>
              <w:ind w:firstLine="640"/>
              <w:jc w:val="both"/>
            </w:pPr>
            <w:r>
              <w:rPr>
                <w:rFonts w:ascii="宋体" w:hAnsi="宋体" w:eastAsia="宋体" w:cs="宋体"/>
                <w:sz w:val="24"/>
              </w:rPr>
              <w:t>2.1居民健康档案管理</w:t>
            </w:r>
          </w:p>
          <w:p>
            <w:pPr>
              <w:pStyle w:val="5"/>
              <w:ind w:firstLine="640"/>
              <w:jc w:val="both"/>
            </w:pPr>
            <w:r>
              <w:rPr>
                <w:rFonts w:ascii="宋体" w:hAnsi="宋体" w:eastAsia="宋体" w:cs="宋体"/>
                <w:sz w:val="24"/>
              </w:rPr>
              <w:t>（1）新建居民健康档案</w:t>
            </w:r>
          </w:p>
          <w:p>
            <w:pPr>
              <w:pStyle w:val="5"/>
              <w:ind w:firstLine="640"/>
              <w:jc w:val="both"/>
            </w:pPr>
            <w:r>
              <w:rPr>
                <w:rFonts w:ascii="宋体" w:hAnsi="宋体" w:eastAsia="宋体" w:cs="宋体"/>
                <w:sz w:val="24"/>
              </w:rPr>
              <w:t>①中标供应商根据采购人工作安排，采取电话预约、医院设点、社区设点、入户摸排等方式完成居民健康档案新建。</w:t>
            </w:r>
          </w:p>
          <w:p>
            <w:pPr>
              <w:pStyle w:val="5"/>
              <w:ind w:firstLine="640"/>
              <w:jc w:val="both"/>
            </w:pPr>
            <w:r>
              <w:rPr>
                <w:rFonts w:ascii="宋体" w:hAnsi="宋体" w:eastAsia="宋体" w:cs="宋体"/>
                <w:sz w:val="24"/>
              </w:rPr>
              <w:t>②新建居民健康档案人群为辖区内常住居民(指居住半年以上的户籍及非户籍居民)，以0~6 岁儿童、孕产妇、老年人、慢性病患者、严重精神障碍患者和肺结核患者等人群为重点人群开展新建居民健康档案服务。</w:t>
            </w:r>
          </w:p>
          <w:p>
            <w:pPr>
              <w:pStyle w:val="5"/>
              <w:ind w:firstLine="640"/>
              <w:jc w:val="both"/>
            </w:pPr>
            <w:r>
              <w:rPr>
                <w:rFonts w:ascii="宋体" w:hAnsi="宋体" w:eastAsia="宋体" w:cs="宋体"/>
                <w:sz w:val="24"/>
              </w:rPr>
              <w:t>③新建居民健康档案信息如下:姓名，身份证号码，电话，联系人，联系人电话，户籍地址，现住址，民族，血型，文化程度，职业，婚姻状况，医疗费用支付方式，药物过敏史，暴露史，现存疾病史(高血压、糖尿病、冠心病、慢阻肺、精神病、恶性肿瘤、结核病、肝炎等以及确诊时间)，手术史，外伤史，输血史，家族史，遗传病史、残疾情况(按类填写) 和其他医疗卫生服务记录，生活环境情况，收集信息时需真实有效、完整填写。</w:t>
            </w:r>
          </w:p>
          <w:p>
            <w:pPr>
              <w:pStyle w:val="5"/>
              <w:ind w:firstLine="640"/>
              <w:jc w:val="both"/>
            </w:pPr>
            <w:r>
              <w:rPr>
                <w:rFonts w:ascii="宋体" w:hAnsi="宋体" w:eastAsia="宋体" w:cs="宋体"/>
                <w:sz w:val="24"/>
              </w:rPr>
              <w:t>④新建居民健康档案信息需填写纸质资料和提供相应电子版资料，并在2个工作日内录入采购人使用的公卫管理系统，录入时要做到录入信息填写完整、真实准确，无逻辑问题。</w:t>
            </w:r>
          </w:p>
          <w:p>
            <w:pPr>
              <w:pStyle w:val="5"/>
              <w:ind w:firstLine="640"/>
              <w:jc w:val="both"/>
            </w:pPr>
            <w:r>
              <w:rPr>
                <w:rFonts w:ascii="宋体" w:hAnsi="宋体" w:eastAsia="宋体" w:cs="宋体"/>
                <w:sz w:val="24"/>
              </w:rPr>
              <w:t>⑤中标供应商完成新建居民健康档案信息录入后，2个工作日内需将新建居民健康档案纸质资料收集整理交由采购人，纳入居民健康档案管理。</w:t>
            </w:r>
          </w:p>
          <w:p>
            <w:pPr>
              <w:pStyle w:val="5"/>
              <w:ind w:firstLine="640"/>
              <w:jc w:val="both"/>
            </w:pPr>
            <w:r>
              <w:rPr>
                <w:rFonts w:ascii="宋体" w:hAnsi="宋体" w:eastAsia="宋体" w:cs="宋体"/>
                <w:sz w:val="24"/>
              </w:rPr>
              <w:t>⑥服务计量方式:以中标供应商录入采购人使用的公卫管理系统的数据为准。</w:t>
            </w:r>
          </w:p>
          <w:p>
            <w:pPr>
              <w:pStyle w:val="5"/>
              <w:ind w:firstLine="640"/>
              <w:jc w:val="both"/>
            </w:pPr>
            <w:r>
              <w:rPr>
                <w:rFonts w:ascii="宋体" w:hAnsi="宋体" w:eastAsia="宋体" w:cs="宋体"/>
                <w:sz w:val="24"/>
              </w:rPr>
              <w:t>（2）更新居民健康档案</w:t>
            </w:r>
          </w:p>
          <w:p>
            <w:pPr>
              <w:pStyle w:val="5"/>
              <w:ind w:firstLine="640"/>
              <w:jc w:val="both"/>
            </w:pPr>
            <w:r>
              <w:rPr>
                <w:rFonts w:ascii="宋体" w:hAnsi="宋体" w:eastAsia="宋体" w:cs="宋体"/>
                <w:sz w:val="24"/>
              </w:rPr>
              <w:t>①中标供应商根据采购人工作安排，采取电话沟通、医院设点、社区设点、入户摸排等方式逐一核实居民健康档案信息，服务期内同一居民健康档案只更新一次且只核算一次工作量。</w:t>
            </w:r>
          </w:p>
          <w:p>
            <w:pPr>
              <w:pStyle w:val="5"/>
              <w:ind w:firstLine="640"/>
              <w:jc w:val="both"/>
            </w:pPr>
            <w:r>
              <w:rPr>
                <w:rFonts w:ascii="宋体" w:hAnsi="宋体" w:eastAsia="宋体" w:cs="宋体"/>
                <w:sz w:val="24"/>
              </w:rPr>
              <w:t>②以采购人使用的公卫管理系统内现有居民健康档案管理数据为基数进行档案更新。</w:t>
            </w:r>
          </w:p>
          <w:p>
            <w:pPr>
              <w:pStyle w:val="5"/>
              <w:ind w:firstLine="640"/>
              <w:jc w:val="both"/>
            </w:pPr>
            <w:r>
              <w:rPr>
                <w:rFonts w:ascii="宋体" w:hAnsi="宋体" w:eastAsia="宋体" w:cs="宋体"/>
                <w:sz w:val="24"/>
              </w:rPr>
              <w:t>③更新居民健康档案信息如下:姓名，身份证号码，电话，联系人，联系人电话，户籍地址，现住址，民族，血型，文化程度，职业，婚姻状况，医疗费用支付方式，药物过敏史，暴露史，现存疾病史(高血压、糖尿病、冠心病、慢阻肺、精神病、恶性肿瘤、结核病、肝炎等以及确诊时间)，手术史，外伤史，输血史，家族史，遗传病史、残疾情况(按类填写) 和其他医疗卫生服务记录，生活环境情况，收集信息时需真实有效、完整填写。</w:t>
            </w:r>
          </w:p>
          <w:p>
            <w:pPr>
              <w:pStyle w:val="5"/>
              <w:ind w:firstLine="640"/>
              <w:jc w:val="both"/>
            </w:pPr>
            <w:r>
              <w:rPr>
                <w:rFonts w:ascii="宋体" w:hAnsi="宋体" w:eastAsia="宋体" w:cs="宋体"/>
                <w:sz w:val="24"/>
              </w:rPr>
              <w:t>④更新居民健康档案信息需填写纸质材料和提供相应电子版资料，按照采购人提供的居民健康档案信息进行电话或现场核实后，2 个工作日内在采购人使用的公卫管理系统进行更新(只对公卫管理系统内居民健康档案信息不完整或信息错误处进行系统内修改)。</w:t>
            </w:r>
          </w:p>
          <w:p>
            <w:pPr>
              <w:pStyle w:val="5"/>
              <w:ind w:firstLine="640"/>
              <w:jc w:val="both"/>
            </w:pPr>
            <w:r>
              <w:rPr>
                <w:rFonts w:ascii="宋体" w:hAnsi="宋体" w:eastAsia="宋体" w:cs="宋体"/>
                <w:sz w:val="24"/>
              </w:rPr>
              <w:t>⑤服务计量方式:以中标供应商录入采购人使用的公卫管理系统的更新数据为准</w:t>
            </w:r>
          </w:p>
          <w:p>
            <w:pPr>
              <w:pStyle w:val="5"/>
              <w:ind w:firstLine="640"/>
              <w:jc w:val="both"/>
            </w:pPr>
            <w:r>
              <w:rPr>
                <w:rFonts w:ascii="宋体" w:hAnsi="宋体" w:eastAsia="宋体" w:cs="宋体"/>
                <w:sz w:val="24"/>
              </w:rPr>
              <w:t>2.2、健康教育</w:t>
            </w:r>
          </w:p>
          <w:p>
            <w:pPr>
              <w:pStyle w:val="5"/>
              <w:ind w:firstLine="640"/>
              <w:jc w:val="both"/>
            </w:pPr>
            <w:r>
              <w:rPr>
                <w:rFonts w:ascii="宋体" w:hAnsi="宋体" w:eastAsia="宋体" w:cs="宋体"/>
                <w:sz w:val="24"/>
              </w:rPr>
              <w:t>（1）中标供应商根据采购人实际工作需求，在黄龙溪镇辖区内开展健康教育宣传活动;</w:t>
            </w:r>
          </w:p>
          <w:p>
            <w:pPr>
              <w:pStyle w:val="5"/>
              <w:ind w:firstLine="640"/>
              <w:jc w:val="both"/>
            </w:pPr>
            <w:r>
              <w:rPr>
                <w:rFonts w:ascii="宋体" w:hAnsi="宋体" w:eastAsia="宋体" w:cs="宋体"/>
                <w:sz w:val="24"/>
              </w:rPr>
              <w:t>（2） 每场次健康教育宣传活动不少于3 个小时，接受健康教育居民人数不得少于30人;</w:t>
            </w:r>
          </w:p>
          <w:p>
            <w:pPr>
              <w:pStyle w:val="5"/>
              <w:ind w:firstLine="640"/>
              <w:jc w:val="both"/>
            </w:pPr>
            <w:r>
              <w:rPr>
                <w:rFonts w:ascii="宋体" w:hAnsi="宋体" w:eastAsia="宋体" w:cs="宋体"/>
                <w:sz w:val="24"/>
              </w:rPr>
              <w:t>（3） 健康教育活动内容:包含但不限于国家基本公共卫生服务项目的内容、服务范围、服务标准及健康知识等健康教育宣传资料发放、健康教育宣传用品发放国家基本公共卫生服务项目咨询及协助采购人完成各类健康教育讲座及主题活动服务等;</w:t>
            </w:r>
          </w:p>
          <w:p>
            <w:pPr>
              <w:pStyle w:val="5"/>
              <w:ind w:firstLine="640"/>
              <w:jc w:val="both"/>
            </w:pPr>
            <w:r>
              <w:rPr>
                <w:rFonts w:ascii="宋体" w:hAnsi="宋体" w:eastAsia="宋体" w:cs="宋体"/>
                <w:sz w:val="24"/>
              </w:rPr>
              <w:t>（4）每场次健康宣传教育活动结束后2个工作日内，中标供应商应将健康教育宣传活动开展时拍摄的水印照片 (至少包含开始时一张，结束时一张)、活动签到表、物品发放表等与活动有关的凭证材料提交采购人;</w:t>
            </w:r>
          </w:p>
          <w:p>
            <w:pPr>
              <w:pStyle w:val="5"/>
              <w:ind w:firstLine="640"/>
              <w:jc w:val="both"/>
            </w:pPr>
            <w:r>
              <w:rPr>
                <w:rFonts w:ascii="宋体" w:hAnsi="宋体" w:eastAsia="宋体" w:cs="宋体"/>
                <w:sz w:val="24"/>
              </w:rPr>
              <w:t>（5）服务计量方式:以采购人与中标供应商双方核实确认后的健康教育活动场次为准。</w:t>
            </w:r>
          </w:p>
          <w:p>
            <w:pPr>
              <w:pStyle w:val="5"/>
              <w:ind w:firstLine="640"/>
              <w:jc w:val="both"/>
            </w:pPr>
            <w:r>
              <w:rPr>
                <w:rFonts w:ascii="宋体" w:hAnsi="宋体" w:eastAsia="宋体" w:cs="宋体"/>
                <w:sz w:val="24"/>
              </w:rPr>
              <w:t>2.3老年人健康管理</w:t>
            </w:r>
          </w:p>
          <w:p>
            <w:pPr>
              <w:pStyle w:val="5"/>
              <w:ind w:firstLine="640"/>
              <w:jc w:val="both"/>
            </w:pPr>
            <w:r>
              <w:rPr>
                <w:rFonts w:ascii="宋体" w:hAnsi="宋体" w:eastAsia="宋体" w:cs="宋体"/>
                <w:sz w:val="24"/>
              </w:rPr>
              <w:t>（1）中标供应商根据采购人实际工作需求，为黄龙溪镇辖区内 65 岁及以上老年人提供健康体检协助服务;</w:t>
            </w:r>
          </w:p>
          <w:p>
            <w:pPr>
              <w:pStyle w:val="5"/>
              <w:ind w:firstLine="640"/>
              <w:jc w:val="both"/>
            </w:pPr>
            <w:r>
              <w:rPr>
                <w:rFonts w:ascii="宋体" w:hAnsi="宋体" w:eastAsia="宋体" w:cs="宋体"/>
                <w:sz w:val="24"/>
              </w:rPr>
              <w:t>① 采购人根据老年人体检流程的实际需求，开展老年人健康体检服务;老年人健康体检协助服务内容及流程包含但不限于:负责电话通知老年人群参加体检为参加体检人员提供咨询、健康教育服务、负责引导体检人员有序体检、询问流行病学史、录入被体检人个人基本信息、打印体检条码、贴体检条码、发放尿杯体检项目单、流程单、测视力、测身高、体重、腰围、测血压、登记体检人员检查名单、签约家庭医生协议、填写各项体检项目结果、发放早餐(由采购人提供).宣传物品(由采购人提供)、体检资料数据录入、体检资料收集、整理、归档;</w:t>
            </w:r>
          </w:p>
          <w:p>
            <w:pPr>
              <w:pStyle w:val="5"/>
              <w:ind w:firstLine="640"/>
              <w:jc w:val="both"/>
            </w:pPr>
            <w:r>
              <w:rPr>
                <w:rFonts w:ascii="宋体" w:hAnsi="宋体" w:eastAsia="宋体" w:cs="宋体"/>
                <w:sz w:val="24"/>
              </w:rPr>
              <w:t>②服务计量方式:以采购人使用的公卫管理系统的老年人健康管理体检数据为准。</w:t>
            </w:r>
          </w:p>
          <w:p>
            <w:pPr>
              <w:pStyle w:val="5"/>
              <w:ind w:firstLine="640"/>
              <w:jc w:val="both"/>
            </w:pPr>
            <w:r>
              <w:rPr>
                <w:rFonts w:ascii="宋体" w:hAnsi="宋体" w:eastAsia="宋体" w:cs="宋体"/>
                <w:sz w:val="24"/>
              </w:rPr>
              <w:t>2.4、慢性病患者健康管理</w:t>
            </w:r>
          </w:p>
          <w:p>
            <w:pPr>
              <w:pStyle w:val="5"/>
              <w:ind w:firstLine="640"/>
              <w:jc w:val="both"/>
            </w:pPr>
            <w:r>
              <w:rPr>
                <w:rFonts w:ascii="宋体" w:hAnsi="宋体" w:eastAsia="宋体" w:cs="宋体"/>
                <w:sz w:val="24"/>
              </w:rPr>
              <w:t>（1）中标供应商根据采购人实际工作需求，为黄龙溪镇辖区内 64 岁及以下慢性病患者及高危人群提供健康体检协助服务;</w:t>
            </w:r>
          </w:p>
          <w:p>
            <w:pPr>
              <w:pStyle w:val="5"/>
              <w:ind w:firstLine="640"/>
              <w:jc w:val="both"/>
            </w:pPr>
            <w:r>
              <w:rPr>
                <w:rFonts w:ascii="宋体" w:hAnsi="宋体" w:eastAsia="宋体" w:cs="宋体"/>
                <w:sz w:val="24"/>
              </w:rPr>
              <w:t>①采购人根据64岁及以下慢性病患者及高危人群体检流程的实际需求，开展64岁及以下慢性病患者及高危人群体检服务:64 岁及以下慢性病患者及高危人群体检协助服务内容及流程包含但不限于:负责电话通知64岁及以下慢性病患者及高危人群参加体检、为参加体检人员提供咨询、健康教育服务、负责引导体检人员有序体检、询问流行病学史、录入被体检人个人基本信息、打印体检条码贴体检条码、发放尿杯、体检项目单、流程单、测视力、测身高、体重、腰围测血压、登记体检人员检查名单、签约家庭医生协议、填写各项体检项目结果发放早餐(由采购人提供)、宣传物品(由采购人提供)、体检资料数据录入、体检资料收集、整理、归档;</w:t>
            </w:r>
          </w:p>
          <w:p>
            <w:pPr>
              <w:pStyle w:val="5"/>
              <w:ind w:firstLine="640"/>
              <w:jc w:val="both"/>
            </w:pPr>
            <w:r>
              <w:rPr>
                <w:rFonts w:ascii="宋体" w:hAnsi="宋体" w:eastAsia="宋体" w:cs="宋体"/>
                <w:sz w:val="24"/>
              </w:rPr>
              <w:t>②服务计量方式: 以采购人使用的公卫管理系统的慢性病患者健康管理体检数据为准。</w:t>
            </w:r>
          </w:p>
          <w:p>
            <w:pPr>
              <w:pStyle w:val="5"/>
              <w:ind w:firstLine="640"/>
              <w:jc w:val="both"/>
            </w:pPr>
            <w:r>
              <w:rPr>
                <w:rFonts w:ascii="宋体" w:hAnsi="宋体" w:eastAsia="宋体" w:cs="宋体"/>
                <w:sz w:val="24"/>
              </w:rPr>
              <w:t>（2）慢性病患者面对面随访管理</w:t>
            </w:r>
          </w:p>
          <w:p>
            <w:pPr>
              <w:pStyle w:val="5"/>
              <w:ind w:firstLine="640"/>
              <w:jc w:val="both"/>
            </w:pPr>
            <w:r>
              <w:rPr>
                <w:rFonts w:ascii="宋体" w:hAnsi="宋体" w:eastAsia="宋体" w:cs="宋体"/>
                <w:sz w:val="24"/>
              </w:rPr>
              <w:t>①中标供应商根据采购人工作安排，为辖区内慢病患者管理人群提供面对面随访服务:</w:t>
            </w:r>
          </w:p>
          <w:p>
            <w:pPr>
              <w:pStyle w:val="5"/>
              <w:ind w:firstLine="640"/>
              <w:jc w:val="both"/>
            </w:pPr>
            <w:r>
              <w:rPr>
                <w:rFonts w:ascii="宋体" w:hAnsi="宋体" w:eastAsia="宋体" w:cs="宋体"/>
                <w:sz w:val="24"/>
              </w:rPr>
              <w:t>②对原发性高血压、2 型糖尿病患者提供面对面的随访，须填写纸质随访单和提供相应电子版资料;</w:t>
            </w:r>
          </w:p>
          <w:p>
            <w:pPr>
              <w:pStyle w:val="5"/>
              <w:ind w:firstLine="640"/>
              <w:jc w:val="both"/>
            </w:pPr>
            <w:r>
              <w:rPr>
                <w:rFonts w:ascii="宋体" w:hAnsi="宋体" w:eastAsia="宋体" w:cs="宋体"/>
                <w:sz w:val="24"/>
              </w:rPr>
              <w:t>③慢病患者随访要求及内容:</w:t>
            </w:r>
          </w:p>
          <w:p>
            <w:pPr>
              <w:pStyle w:val="5"/>
              <w:ind w:firstLine="640"/>
              <w:jc w:val="both"/>
            </w:pPr>
            <w:r>
              <w:rPr>
                <w:rFonts w:ascii="宋体" w:hAnsi="宋体" w:eastAsia="宋体" w:cs="宋体"/>
                <w:sz w:val="24"/>
              </w:rPr>
              <w:t>A.高血压:测量血压并评估是否存在危急情况，如出现收缩压≥180mmllg和(或)舒张压≥110mmHig;意识改变、剧烈头痛或头晕、恶心呕吐、视力模糊、眼痛、心悸、胸闷、喘憋不能平卧及处于妊娠期或哺乳期同时血压高于正常等危急情况之一，或存在不能处理的其他疾病时，须报区级医院进行转诊。对于紧急转诊者，应在 2周内主动随访转诊情况。</w:t>
            </w:r>
          </w:p>
          <w:p>
            <w:pPr>
              <w:pStyle w:val="5"/>
              <w:ind w:firstLine="640"/>
              <w:jc w:val="both"/>
            </w:pPr>
            <w:r>
              <w:rPr>
                <w:rFonts w:ascii="宋体" w:hAnsi="宋体" w:eastAsia="宋体" w:cs="宋体"/>
                <w:sz w:val="24"/>
              </w:rPr>
              <w:t>B.糖尿病:测量空腹血糖和血压，并评估是否存在危急情况，如出现血糖&gt;16.7mmo1/L 或血糖≤3.9mmo1/L;收缩压&gt;180mmHg 和/或舒张压≥110mmHlg;意识或行为改变、呼气有烂苹果样丙酮味、心悸、出汗、食欲减退、恶心、呕吐多饮、多尿、腹痛、有深大呼吸、皮肤潮红;持续性心动过速(心率超过 100 次/分钟);体温超过 39 摄氏度或有其他的突发异常情况，如视力突然骤降、妊娠期及哺乳期血糖高于正常值等危险情况之一，或存在不能处理的其他疾病时，须报区级医院进行转诊。对于紧急转诊者，应在 2周内主动随访转诊情况。</w:t>
            </w:r>
          </w:p>
          <w:p>
            <w:pPr>
              <w:pStyle w:val="5"/>
              <w:ind w:firstLine="640"/>
              <w:jc w:val="both"/>
            </w:pPr>
            <w:r>
              <w:rPr>
                <w:rFonts w:ascii="宋体" w:hAnsi="宋体" w:eastAsia="宋体" w:cs="宋体"/>
                <w:sz w:val="24"/>
              </w:rPr>
              <w:t>C.若不需紧急转诊，询问上次随访到此次随访期间的症状。</w:t>
            </w:r>
          </w:p>
          <w:p>
            <w:pPr>
              <w:pStyle w:val="5"/>
              <w:ind w:firstLine="640"/>
              <w:jc w:val="both"/>
            </w:pPr>
            <w:r>
              <w:rPr>
                <w:rFonts w:ascii="宋体" w:hAnsi="宋体" w:eastAsia="宋体" w:cs="宋体"/>
                <w:sz w:val="24"/>
              </w:rPr>
              <w:t>D.测量体重、心率，计算体质指数(BMI)，糖尿病患者还需检查足背动脉搏动。</w:t>
            </w:r>
          </w:p>
          <w:p>
            <w:pPr>
              <w:pStyle w:val="5"/>
              <w:ind w:firstLine="640"/>
              <w:jc w:val="both"/>
            </w:pPr>
            <w:r>
              <w:rPr>
                <w:rFonts w:ascii="宋体" w:hAnsi="宋体" w:eastAsia="宋体" w:cs="宋体"/>
                <w:sz w:val="24"/>
              </w:rPr>
              <w:t>询问患者疾病情况和生活方式，包括心脑血管疾病、吸烟、饮酒、运动、主食摄入情况等。</w:t>
            </w:r>
          </w:p>
          <w:p>
            <w:pPr>
              <w:pStyle w:val="5"/>
              <w:ind w:firstLine="640"/>
              <w:jc w:val="both"/>
            </w:pPr>
            <w:r>
              <w:rPr>
                <w:rFonts w:ascii="宋体" w:hAnsi="宋体" w:eastAsia="宋体" w:cs="宋体"/>
                <w:sz w:val="24"/>
              </w:rPr>
              <w:t>E.了解患者服药情况。</w:t>
            </w:r>
          </w:p>
          <w:p>
            <w:pPr>
              <w:pStyle w:val="5"/>
              <w:ind w:firstLine="640"/>
              <w:jc w:val="both"/>
            </w:pPr>
            <w:r>
              <w:rPr>
                <w:rFonts w:ascii="宋体" w:hAnsi="宋体" w:eastAsia="宋体" w:cs="宋体"/>
                <w:sz w:val="24"/>
              </w:rPr>
              <w:t>F.对血压控制满意(一般高血压患者血压降至140/90 mmHg 以下;&gt;65岁老年高血压患者的血压降至 150/90 mmlg 以下，如果能耐受，可进一步降至140/90mmlig 以下;-般糖尿病或慢性肾脏病患者的血压目标可以在 140/90 mmllg基础上再适当降低)、无药物不良反应、无新发并发症或原有并发症无加重的患者，预约下一次随访。对血糖控制满意(空腹血糖值&lt;7.0mmol/L)，无药物不良反应、无新发并发症或原有并发症无加重的患者，预约下一次随访。</w:t>
            </w:r>
          </w:p>
          <w:p>
            <w:pPr>
              <w:pStyle w:val="5"/>
              <w:ind w:firstLine="640"/>
              <w:jc w:val="both"/>
            </w:pPr>
            <w:r>
              <w:rPr>
                <w:rFonts w:ascii="宋体" w:hAnsi="宋体" w:eastAsia="宋体" w:cs="宋体"/>
                <w:sz w:val="24"/>
              </w:rPr>
              <w:t>G.对第一次出现血压、血糖控制不满意，或出现药物不良反应的患者，结合其服药依从性，必要时增加现用药物剂量、更换或增加不同类的降压药物、降糖药物，2周内随访。</w:t>
            </w:r>
          </w:p>
          <w:p>
            <w:pPr>
              <w:pStyle w:val="5"/>
              <w:ind w:firstLine="640"/>
              <w:jc w:val="both"/>
            </w:pPr>
            <w:r>
              <w:rPr>
                <w:rFonts w:ascii="&quot;times new roman&quot;" w:hAnsi="&quot;times new roman&quot;" w:eastAsia="&quot;times new roman&quot;" w:cs="&quot;times new roman&quot;"/>
                <w:sz w:val="18"/>
              </w:rPr>
              <w:t xml:space="preserve"> </w:t>
            </w:r>
            <w:r>
              <w:rPr>
                <w:rFonts w:ascii="宋体" w:hAnsi="宋体" w:eastAsia="宋体" w:cs="宋体"/>
                <w:sz w:val="24"/>
              </w:rPr>
              <w:t>H.对连续两次出现血压控制、血糖控制不满意或药物不良反应难以控制以及出现新的并发症或原有并发症加重的患者，建议其转诊到上级医院，2 周内主动随访转诊情况。</w:t>
            </w:r>
          </w:p>
          <w:p>
            <w:pPr>
              <w:pStyle w:val="5"/>
              <w:ind w:firstLine="640"/>
              <w:jc w:val="both"/>
            </w:pPr>
            <w:r>
              <w:rPr>
                <w:rFonts w:ascii="宋体" w:hAnsi="宋体" w:eastAsia="宋体" w:cs="宋体"/>
                <w:sz w:val="24"/>
              </w:rPr>
              <w:t>I.对所有面访患者进行有针对性的健康教育，与患者一起制定生活方式改进目标并在下一次随访时评估进展。告诉患者出现哪些异常时应立即就诊。</w:t>
            </w:r>
          </w:p>
          <w:p>
            <w:pPr>
              <w:pStyle w:val="5"/>
              <w:ind w:firstLine="640"/>
              <w:jc w:val="both"/>
            </w:pPr>
            <w:r>
              <w:rPr>
                <w:rFonts w:ascii="宋体" w:hAnsi="宋体" w:eastAsia="宋体" w:cs="宋体"/>
                <w:sz w:val="24"/>
              </w:rPr>
              <w:t>J.负责通知慢病患者参加采购人每年组织的一次慢性病患者体检。</w:t>
            </w:r>
          </w:p>
          <w:p>
            <w:pPr>
              <w:pStyle w:val="5"/>
              <w:ind w:firstLine="640"/>
              <w:jc w:val="both"/>
            </w:pPr>
            <w:r>
              <w:rPr>
                <w:rFonts w:ascii="宋体" w:hAnsi="宋体" w:eastAsia="宋体" w:cs="宋体"/>
                <w:sz w:val="24"/>
              </w:rPr>
              <w:t>K.服务计量方式:以中标供应商完成的纸质随访单为准。</w:t>
            </w:r>
          </w:p>
          <w:p>
            <w:pPr>
              <w:pStyle w:val="5"/>
              <w:ind w:firstLine="640"/>
              <w:jc w:val="both"/>
            </w:pPr>
            <w:r>
              <w:rPr>
                <w:rFonts w:ascii="宋体" w:hAnsi="宋体" w:eastAsia="宋体" w:cs="宋体"/>
                <w:sz w:val="24"/>
              </w:rPr>
              <w:t>（3）慢性病患者随访信息录入</w:t>
            </w:r>
          </w:p>
          <w:p>
            <w:pPr>
              <w:pStyle w:val="5"/>
              <w:ind w:firstLine="640"/>
              <w:jc w:val="both"/>
            </w:pPr>
            <w:r>
              <w:rPr>
                <w:rFonts w:ascii="宋体" w:hAnsi="宋体" w:eastAsia="宋体" w:cs="宋体"/>
                <w:sz w:val="24"/>
              </w:rPr>
              <w:t>①按照采购人工作安排，在采购人使用的公卫管理系统内规范录入慢性病患者随访信息，并将纸质随访记录表册等资料交由采购人纳入慢性病患者健康档案管理；</w:t>
            </w:r>
          </w:p>
          <w:p>
            <w:pPr>
              <w:pStyle w:val="5"/>
              <w:ind w:firstLine="640"/>
              <w:jc w:val="both"/>
            </w:pPr>
            <w:r>
              <w:rPr>
                <w:rFonts w:ascii="宋体" w:hAnsi="宋体" w:eastAsia="宋体" w:cs="宋体"/>
                <w:sz w:val="24"/>
              </w:rPr>
              <w:t>②服务计量方式: 以中标供应商在采购人使用的公卫管理系统录入的慢性病患者随访有效数据为准。</w:t>
            </w:r>
          </w:p>
          <w:p>
            <w:pPr>
              <w:pStyle w:val="5"/>
              <w:jc w:val="both"/>
            </w:pPr>
            <w:r>
              <w:rPr>
                <w:rFonts w:ascii="宋体" w:hAnsi="宋体" w:eastAsia="宋体" w:cs="宋体"/>
                <w:b/>
                <w:sz w:val="24"/>
              </w:rPr>
              <w:t>（四）其他履约要求</w:t>
            </w:r>
          </w:p>
          <w:p>
            <w:pPr>
              <w:pStyle w:val="5"/>
              <w:ind w:firstLine="640"/>
              <w:jc w:val="both"/>
            </w:pPr>
            <w:r>
              <w:rPr>
                <w:rFonts w:ascii="宋体" w:hAnsi="宋体" w:eastAsia="宋体" w:cs="宋体"/>
                <w:sz w:val="24"/>
              </w:rPr>
              <w:t>1.中标供应商项目管理人员，每月应定期走访各科室，询问了解对人员服务的满意程度及意见建议，现场沟通并做好记录，并根据反馈的意见建议制定整改方案，不断完善服务内容，提高服务质量。</w:t>
            </w:r>
          </w:p>
          <w:p>
            <w:pPr>
              <w:pStyle w:val="5"/>
              <w:ind w:firstLine="640"/>
              <w:jc w:val="both"/>
            </w:pPr>
            <w:r>
              <w:rPr>
                <w:rFonts w:ascii="宋体" w:hAnsi="宋体" w:eastAsia="宋体" w:cs="宋体"/>
                <w:sz w:val="24"/>
              </w:rPr>
              <w:t>2在采购人院内发生任何与服务相关的问题，中标供应商管理人员应立即指导进行处置，且在4小时内到达现场进行处理，并承担因此产生的经济及法律责任。</w:t>
            </w:r>
          </w:p>
          <w:p>
            <w:pPr>
              <w:pStyle w:val="5"/>
              <w:ind w:firstLine="640"/>
              <w:jc w:val="both"/>
            </w:pPr>
            <w:r>
              <w:rPr>
                <w:rFonts w:ascii="宋体" w:hAnsi="宋体" w:eastAsia="宋体" w:cs="宋体"/>
                <w:sz w:val="24"/>
              </w:rPr>
              <w:t>3.员工上岗前接受防控知识、个人防护等培训，由供应商自行培训，培训合格后方可上岗，服务期限内中标供应商每月至少培训1次，日常工作中现场管理人员加强对医疗辅助人员的指导，达到院感要求。每月培训完成后，需向采购人提供培训图片、简报等电子版和纸质资料。</w:t>
            </w:r>
          </w:p>
          <w:p>
            <w:pPr>
              <w:pStyle w:val="5"/>
              <w:ind w:firstLine="640"/>
              <w:jc w:val="both"/>
            </w:pPr>
            <w:r>
              <w:rPr>
                <w:rFonts w:ascii="宋体" w:hAnsi="宋体" w:eastAsia="宋体" w:cs="宋体"/>
                <w:sz w:val="24"/>
              </w:rPr>
              <w:t>4.用人科室每月对服务人员进行考核，对于考核不合格者，采购人有权要求中标供应商更换服务人员。</w:t>
            </w:r>
          </w:p>
          <w:p>
            <w:pPr>
              <w:pStyle w:val="5"/>
              <w:ind w:firstLine="708"/>
              <w:jc w:val="both"/>
            </w:pPr>
            <w:r>
              <w:rPr>
                <w:rFonts w:ascii="宋体" w:hAnsi="宋体" w:eastAsia="宋体" w:cs="宋体"/>
                <w:sz w:val="24"/>
              </w:rPr>
              <w:t>5.中标供应商须提供满足需求的服务人员数量，并根据采购人实际需要调整岗位和人员。</w:t>
            </w:r>
          </w:p>
          <w:p>
            <w:pPr>
              <w:pStyle w:val="5"/>
              <w:jc w:val="both"/>
            </w:pPr>
            <w:r>
              <w:rPr>
                <w:rFonts w:ascii="宋体" w:hAnsi="宋体" w:eastAsia="宋体" w:cs="宋体"/>
                <w:b/>
                <w:sz w:val="24"/>
              </w:rPr>
              <w:t>（五）考核办法</w:t>
            </w:r>
          </w:p>
          <w:p>
            <w:pPr>
              <w:pStyle w:val="5"/>
              <w:jc w:val="both"/>
            </w:pPr>
            <w:r>
              <w:rPr>
                <w:rFonts w:ascii="宋体" w:hAnsi="宋体" w:eastAsia="宋体" w:cs="宋体"/>
                <w:color w:val="000000"/>
                <w:sz w:val="24"/>
              </w:rPr>
              <w:t>1、收费室服务考核表</w:t>
            </w:r>
          </w:p>
          <w:tbl>
            <w:tblPr>
              <w:tblStyle w:val="3"/>
              <w:tblW w:w="4999"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603"/>
              <w:gridCol w:w="1191"/>
              <w:gridCol w:w="776"/>
              <w:gridCol w:w="1300"/>
              <w:gridCol w:w="776"/>
              <w:gridCol w:w="77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75" w:type="pct"/>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考核内容</w:t>
                  </w:r>
                </w:p>
              </w:tc>
              <w:tc>
                <w:tcPr>
                  <w:tcW w:w="604"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分值</w:t>
                  </w:r>
                </w:p>
              </w:tc>
              <w:tc>
                <w:tcPr>
                  <w:tcW w:w="1012"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评分标准</w:t>
                  </w:r>
                </w:p>
              </w:tc>
              <w:tc>
                <w:tcPr>
                  <w:tcW w:w="604"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得分</w:t>
                  </w:r>
                </w:p>
              </w:tc>
              <w:tc>
                <w:tcPr>
                  <w:tcW w:w="604"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扣分原因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48"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（一）服务态度</w:t>
                  </w:r>
                </w:p>
              </w:tc>
              <w:tc>
                <w:tcPr>
                  <w:tcW w:w="92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1、积极主动、认真完成上级安排的各项任务。</w:t>
                  </w: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5</w:t>
                  </w:r>
                </w:p>
              </w:tc>
              <w:tc>
                <w:tcPr>
                  <w:tcW w:w="101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服务人员工作不积极，不能按质按量完成工作任务，一次扣1分</w:t>
                  </w: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c>
                <w:tcPr>
                  <w:tcW w:w="604"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bottom"/>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48" w:type="pct"/>
                  <w:vMerge w:val="continue"/>
                  <w:tcBorders>
                    <w:top w:val="nil"/>
                    <w:left w:val="single" w:color="000000" w:sz="4" w:space="0"/>
                    <w:bottom w:val="single" w:color="000000" w:sz="4" w:space="0"/>
                    <w:right w:val="single" w:color="000000" w:sz="4" w:space="0"/>
                  </w:tcBorders>
                </w:tcPr>
                <w:p/>
              </w:tc>
              <w:tc>
                <w:tcPr>
                  <w:tcW w:w="92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2、爱护公物，正确使用办公设施。</w:t>
                  </w: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5</w:t>
                  </w:r>
                </w:p>
              </w:tc>
              <w:tc>
                <w:tcPr>
                  <w:tcW w:w="101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服务人员不爱护公物，不按操作规程使用办公设施，一次扣0.2分</w:t>
                  </w: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bottom"/>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48"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（二）服务质量</w:t>
                  </w:r>
                </w:p>
              </w:tc>
              <w:tc>
                <w:tcPr>
                  <w:tcW w:w="92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1、服务人员按照岗位职责完成采购人交办的工作</w:t>
                  </w: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16</w:t>
                  </w:r>
                </w:p>
              </w:tc>
              <w:tc>
                <w:tcPr>
                  <w:tcW w:w="101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出现一次差错，酌情扣除1-5分</w:t>
                  </w: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bottom"/>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48" w:type="pct"/>
                  <w:vMerge w:val="continue"/>
                  <w:tcBorders>
                    <w:top w:val="nil"/>
                    <w:left w:val="single" w:color="000000" w:sz="4" w:space="0"/>
                    <w:bottom w:val="single" w:color="000000" w:sz="4" w:space="0"/>
                    <w:right w:val="single" w:color="000000" w:sz="4" w:space="0"/>
                  </w:tcBorders>
                </w:tcPr>
                <w:p/>
              </w:tc>
              <w:tc>
                <w:tcPr>
                  <w:tcW w:w="92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2、爱岗敬业，礼貌服务</w:t>
                  </w: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20</w:t>
                  </w:r>
                </w:p>
              </w:tc>
              <w:tc>
                <w:tcPr>
                  <w:tcW w:w="101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因服务态度引发患者投诉扣5分/次</w:t>
                  </w: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bottom"/>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48"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（三）内部管理</w:t>
                  </w:r>
                </w:p>
              </w:tc>
              <w:tc>
                <w:tcPr>
                  <w:tcW w:w="92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1、服务人员按时上下班，不迟到、早退，不擅离职守，病事假按规定办理相关手续。</w:t>
                  </w: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5</w:t>
                  </w:r>
                </w:p>
              </w:tc>
              <w:tc>
                <w:tcPr>
                  <w:tcW w:w="101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未按时上下班，有迟到、早退、擅离职守，病事假未按规定办理相关手续，一次扣0.2分</w:t>
                  </w: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bottom"/>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48" w:type="pct"/>
                  <w:vMerge w:val="continue"/>
                  <w:tcBorders>
                    <w:top w:val="nil"/>
                    <w:left w:val="single" w:color="000000" w:sz="4" w:space="0"/>
                    <w:bottom w:val="single" w:color="000000" w:sz="4" w:space="0"/>
                    <w:right w:val="single" w:color="000000" w:sz="4" w:space="0"/>
                  </w:tcBorders>
                </w:tcPr>
                <w:p/>
              </w:tc>
              <w:tc>
                <w:tcPr>
                  <w:tcW w:w="92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2、服务人员服从日常工作分配及加班安排并按时到岗。</w:t>
                  </w: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5</w:t>
                  </w:r>
                </w:p>
              </w:tc>
              <w:tc>
                <w:tcPr>
                  <w:tcW w:w="101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不服从日常工作分工及加班安排，一次扣0.2分</w:t>
                  </w: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bottom"/>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48"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（四）人员管理</w:t>
                  </w:r>
                </w:p>
              </w:tc>
              <w:tc>
                <w:tcPr>
                  <w:tcW w:w="92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1、未按照服务要求人员数量进行配备人员</w:t>
                  </w: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44</w:t>
                  </w:r>
                </w:p>
              </w:tc>
              <w:tc>
                <w:tcPr>
                  <w:tcW w:w="101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在本项目要求的人员数量基础上，当月每少配备1人扣2分</w:t>
                  </w: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bottom"/>
                </w:tcPr>
                <w:p>
                  <w:pPr>
                    <w:pStyle w:val="5"/>
                    <w:jc w:val="left"/>
                  </w:pPr>
                </w:p>
              </w:tc>
              <w:tc>
                <w:tcPr>
                  <w:tcW w:w="604" w:type="pct"/>
                  <w:tcBorders>
                    <w:top w:val="nil"/>
                    <w:left w:val="nil"/>
                    <w:bottom w:val="single" w:color="000000" w:sz="4" w:space="0"/>
                    <w:right w:val="single" w:color="000000" w:sz="4" w:space="0"/>
                  </w:tcBorders>
                  <w:tcMar>
                    <w:top w:w="0" w:type="dxa"/>
                    <w:left w:w="105" w:type="dxa"/>
                    <w:bottom w:w="0" w:type="dxa"/>
                    <w:right w:w="105" w:type="dxa"/>
                  </w:tcMar>
                  <w:vAlign w:val="bottom"/>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79" w:type="pct"/>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考核得分</w:t>
                  </w:r>
                </w:p>
              </w:tc>
              <w:tc>
                <w:tcPr>
                  <w:tcW w:w="2220" w:type="pct"/>
                  <w:gridSpan w:val="3"/>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bl>
          <w:p>
            <w:pPr>
              <w:pStyle w:val="5"/>
              <w:jc w:val="both"/>
            </w:pPr>
          </w:p>
          <w:p>
            <w:pPr>
              <w:pStyle w:val="5"/>
              <w:jc w:val="both"/>
            </w:pPr>
            <w:r>
              <w:rPr>
                <w:rFonts w:ascii="宋体" w:hAnsi="宋体" w:eastAsia="宋体" w:cs="宋体"/>
                <w:color w:val="000000"/>
                <w:sz w:val="24"/>
              </w:rPr>
              <w:t>2、护理管理服务考核表</w:t>
            </w:r>
          </w:p>
          <w:tbl>
            <w:tblPr>
              <w:tblStyle w:val="3"/>
              <w:tblW w:w="4999"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51"/>
              <w:gridCol w:w="1555"/>
              <w:gridCol w:w="753"/>
              <w:gridCol w:w="1859"/>
              <w:gridCol w:w="752"/>
              <w:gridCol w:w="75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95" w:type="pct"/>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考核内容</w:t>
                  </w:r>
                </w:p>
              </w:tc>
              <w:tc>
                <w:tcPr>
                  <w:tcW w:w="585" w:type="pc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分值</w:t>
                  </w:r>
                </w:p>
              </w:tc>
              <w:tc>
                <w:tcPr>
                  <w:tcW w:w="1447" w:type="pc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评分标准</w:t>
                  </w:r>
                </w:p>
              </w:tc>
              <w:tc>
                <w:tcPr>
                  <w:tcW w:w="585" w:type="pc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得分</w:t>
                  </w:r>
                </w:p>
              </w:tc>
              <w:tc>
                <w:tcPr>
                  <w:tcW w:w="585" w:type="pc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扣分原因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职业</w:t>
                  </w:r>
                </w:p>
                <w:p>
                  <w:pPr>
                    <w:pStyle w:val="5"/>
                    <w:jc w:val="center"/>
                  </w:pPr>
                  <w:r>
                    <w:rPr>
                      <w:rFonts w:ascii="宋体" w:hAnsi="宋体" w:eastAsia="宋体" w:cs="宋体"/>
                      <w:color w:val="000000"/>
                      <w:sz w:val="24"/>
                    </w:rPr>
                    <w:t>道德</w:t>
                  </w:r>
                </w:p>
              </w:tc>
              <w:tc>
                <w:tcPr>
                  <w:tcW w:w="121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1.服务态度好,对老人和蔼.语言亲切,解释耐心</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3</w:t>
                  </w:r>
                </w:p>
              </w:tc>
              <w:tc>
                <w:tcPr>
                  <w:tcW w:w="144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说脏话，吵架，对老人态度恶劣者，一次扣1分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585" w:type="pc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pct"/>
                  <w:vMerge w:val="continue"/>
                  <w:tcBorders>
                    <w:top w:val="nil"/>
                    <w:left w:val="single" w:color="000000" w:sz="4" w:space="0"/>
                    <w:bottom w:val="single" w:color="000000" w:sz="4" w:space="0"/>
                    <w:right w:val="single" w:color="000000" w:sz="4" w:space="0"/>
                  </w:tcBorders>
                </w:tcPr>
                <w:p/>
              </w:tc>
              <w:tc>
                <w:tcPr>
                  <w:tcW w:w="121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2.工作态度好，熟悉工作职责及质量标准，按要求及时完成组长交给的临时任务</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8</w:t>
                  </w:r>
                </w:p>
              </w:tc>
              <w:tc>
                <w:tcPr>
                  <w:tcW w:w="144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工作态度差，主动性不强，服务质量差，不服从安排，一次扣2分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pct"/>
                  <w:vMerge w:val="continue"/>
                  <w:tcBorders>
                    <w:top w:val="nil"/>
                    <w:left w:val="single" w:color="000000" w:sz="4" w:space="0"/>
                    <w:bottom w:val="single" w:color="000000" w:sz="4" w:space="0"/>
                    <w:right w:val="single" w:color="000000" w:sz="4" w:space="0"/>
                  </w:tcBorders>
                </w:tcPr>
                <w:p/>
              </w:tc>
              <w:tc>
                <w:tcPr>
                  <w:tcW w:w="121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3.团结协作，维护集体荣誉</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2</w:t>
                  </w:r>
                </w:p>
              </w:tc>
              <w:tc>
                <w:tcPr>
                  <w:tcW w:w="144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不团结友善，恶意伤害他人，一次扣1分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工作纪律</w:t>
                  </w:r>
                </w:p>
              </w:tc>
              <w:tc>
                <w:tcPr>
                  <w:tcW w:w="121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1.遵守各部门的规章制度；</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2</w:t>
                  </w:r>
                </w:p>
              </w:tc>
              <w:tc>
                <w:tcPr>
                  <w:tcW w:w="144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违反各部门规章制度者，一次扣1分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pct"/>
                  <w:vMerge w:val="continue"/>
                  <w:tcBorders>
                    <w:top w:val="nil"/>
                    <w:left w:val="single" w:color="000000" w:sz="4" w:space="0"/>
                    <w:bottom w:val="single" w:color="000000" w:sz="4" w:space="0"/>
                    <w:right w:val="single" w:color="000000" w:sz="4" w:space="0"/>
                  </w:tcBorders>
                </w:tcPr>
                <w:p/>
              </w:tc>
              <w:tc>
                <w:tcPr>
                  <w:tcW w:w="121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2.仪表着装整齐，不穿高跟鞋，拖鞋上班，佩戴头花，胸牌；</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5</w:t>
                  </w:r>
                </w:p>
              </w:tc>
              <w:tc>
                <w:tcPr>
                  <w:tcW w:w="144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仪表着装不整齐，穿高跟鞋，拖鞋上班，不佩戴胸牌，一次扣1分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pct"/>
                  <w:vMerge w:val="continue"/>
                  <w:tcBorders>
                    <w:top w:val="nil"/>
                    <w:left w:val="single" w:color="000000" w:sz="4" w:space="0"/>
                    <w:bottom w:val="single" w:color="000000" w:sz="4" w:space="0"/>
                    <w:right w:val="single" w:color="000000" w:sz="4" w:space="0"/>
                  </w:tcBorders>
                </w:tcPr>
                <w:p/>
              </w:tc>
              <w:tc>
                <w:tcPr>
                  <w:tcW w:w="121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3.上班不迟到、早退、不无故旷工，有事有病请假，不擅自离岗位；</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8</w:t>
                  </w:r>
                </w:p>
              </w:tc>
              <w:tc>
                <w:tcPr>
                  <w:tcW w:w="144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上班迟到，早退、有事不请假，中途脱岗者，一次扣2分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表格书写</w:t>
                  </w:r>
                </w:p>
                <w:p>
                  <w:pPr>
                    <w:pStyle w:val="5"/>
                    <w:jc w:val="center"/>
                  </w:pPr>
                </w:p>
              </w:tc>
              <w:tc>
                <w:tcPr>
                  <w:tcW w:w="121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1.当班护理员完成新入住老人的接待安排工作和老人的物品登记，并书写交班报告，做好交接班工作；</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10</w:t>
                  </w:r>
                </w:p>
              </w:tc>
              <w:tc>
                <w:tcPr>
                  <w:tcW w:w="144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新入住老人物品准备不齐全，清点物品不仔细未归位，未介绍环境、作息时间、请假制度和相应护理登记的护理内容、交接班不清楚，书写不正规，一次扣1分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pct"/>
                  <w:vMerge w:val="continue"/>
                  <w:tcBorders>
                    <w:top w:val="nil"/>
                    <w:left w:val="single" w:color="000000" w:sz="4" w:space="0"/>
                    <w:bottom w:val="single" w:color="000000" w:sz="4" w:space="0"/>
                    <w:right w:val="single" w:color="000000" w:sz="4" w:space="0"/>
                  </w:tcBorders>
                </w:tcPr>
                <w:p/>
              </w:tc>
              <w:tc>
                <w:tcPr>
                  <w:tcW w:w="121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2.做好护理工作量的登记；</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2</w:t>
                  </w:r>
                </w:p>
              </w:tc>
              <w:tc>
                <w:tcPr>
                  <w:tcW w:w="144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未认真登记工作量，一次扣0.5分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pct"/>
                  <w:vMerge w:val="continue"/>
                  <w:tcBorders>
                    <w:top w:val="nil"/>
                    <w:left w:val="single" w:color="000000" w:sz="4" w:space="0"/>
                    <w:bottom w:val="single" w:color="000000" w:sz="4" w:space="0"/>
                    <w:right w:val="single" w:color="000000" w:sz="4" w:space="0"/>
                  </w:tcBorders>
                </w:tcPr>
                <w:p/>
              </w:tc>
              <w:tc>
                <w:tcPr>
                  <w:tcW w:w="121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3.如实登记卧床老人的翻身记录卡；</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6</w:t>
                  </w:r>
                </w:p>
              </w:tc>
              <w:tc>
                <w:tcPr>
                  <w:tcW w:w="144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翻身卡未登记，翻身后未作局部按摩，发生褥疮，一次扣3分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生活护理</w:t>
                  </w:r>
                </w:p>
              </w:tc>
              <w:tc>
                <w:tcPr>
                  <w:tcW w:w="121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1.按分级护理做好老人的基础护理和晨晚间护理；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8</w:t>
                  </w:r>
                </w:p>
              </w:tc>
              <w:tc>
                <w:tcPr>
                  <w:tcW w:w="144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护理不当造成老人烫伤、损伤、受凉、坠床、跌倒、走失等，一次扣2分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pct"/>
                  <w:vMerge w:val="continue"/>
                  <w:tcBorders>
                    <w:top w:val="nil"/>
                    <w:left w:val="single" w:color="000000" w:sz="4" w:space="0"/>
                    <w:bottom w:val="single" w:color="000000" w:sz="4" w:space="0"/>
                    <w:right w:val="single" w:color="000000" w:sz="4" w:space="0"/>
                  </w:tcBorders>
                </w:tcPr>
                <w:p/>
              </w:tc>
              <w:tc>
                <w:tcPr>
                  <w:tcW w:w="121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2.房间规范管理，保持老人床单元整齐、清洁、勤换衣服，衣物无遗失。</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8</w:t>
                  </w:r>
                </w:p>
              </w:tc>
              <w:tc>
                <w:tcPr>
                  <w:tcW w:w="144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房间管理不规范，床单不整齐、清洁，未及时更换和清洗衣被，衣物的遗失，一次扣2分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pct"/>
                  <w:vMerge w:val="continue"/>
                  <w:tcBorders>
                    <w:top w:val="nil"/>
                    <w:left w:val="single" w:color="000000" w:sz="4" w:space="0"/>
                    <w:bottom w:val="single" w:color="000000" w:sz="4" w:space="0"/>
                    <w:right w:val="single" w:color="000000" w:sz="4" w:space="0"/>
                  </w:tcBorders>
                </w:tcPr>
                <w:p/>
              </w:tc>
              <w:tc>
                <w:tcPr>
                  <w:tcW w:w="121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3.护理老人做到“三短”、“四及时”、“五到床”、“六洁”。</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14</w:t>
                  </w:r>
                </w:p>
              </w:tc>
              <w:tc>
                <w:tcPr>
                  <w:tcW w:w="144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头发、胡须、指甲未及时修剪，巡视房间不及时，卧床老人热饭菜、热水、开水、便器未到床，头、口、脸、手脚、会阴、皮肤不干净，一次扣2分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pct"/>
                  <w:vMerge w:val="continue"/>
                  <w:tcBorders>
                    <w:top w:val="nil"/>
                    <w:left w:val="single" w:color="000000" w:sz="4" w:space="0"/>
                    <w:bottom w:val="single" w:color="000000" w:sz="4" w:space="0"/>
                    <w:right w:val="single" w:color="000000" w:sz="4" w:space="0"/>
                  </w:tcBorders>
                </w:tcPr>
                <w:p/>
              </w:tc>
              <w:tc>
                <w:tcPr>
                  <w:tcW w:w="121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4.掌握老人的生活习惯和思想状态，耐心做好老人心理护理和解释工作；</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6</w:t>
                  </w:r>
                </w:p>
              </w:tc>
              <w:tc>
                <w:tcPr>
                  <w:tcW w:w="144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未及时与老人沟通，出现问题未及时解决导致老人情绪激动和过激行为的发生，一次扣1分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pct"/>
                  <w:vMerge w:val="continue"/>
                  <w:tcBorders>
                    <w:top w:val="nil"/>
                    <w:left w:val="single" w:color="000000" w:sz="4" w:space="0"/>
                    <w:bottom w:val="single" w:color="000000" w:sz="4" w:space="0"/>
                    <w:right w:val="single" w:color="000000" w:sz="4" w:space="0"/>
                  </w:tcBorders>
                </w:tcPr>
                <w:p/>
              </w:tc>
              <w:tc>
                <w:tcPr>
                  <w:tcW w:w="121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5.保障老人安全，正确使用电器，预防火灾、烧伤、烫伤。</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8</w:t>
                  </w:r>
                </w:p>
              </w:tc>
              <w:tc>
                <w:tcPr>
                  <w:tcW w:w="144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使用电器不正规发生火灾或导致老人烧伤、烫伤，一次扣4分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pct"/>
                  <w:vMerge w:val="continue"/>
                  <w:tcBorders>
                    <w:top w:val="nil"/>
                    <w:left w:val="single" w:color="000000" w:sz="4" w:space="0"/>
                    <w:bottom w:val="single" w:color="000000" w:sz="4" w:space="0"/>
                    <w:right w:val="single" w:color="000000" w:sz="4" w:space="0"/>
                  </w:tcBorders>
                </w:tcPr>
                <w:p/>
              </w:tc>
              <w:tc>
                <w:tcPr>
                  <w:tcW w:w="121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6.做好消毒隔离，清污分开，老人用物“一用一消毒”，做好老人的出院终末消毒。</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6</w:t>
                  </w:r>
                </w:p>
              </w:tc>
              <w:tc>
                <w:tcPr>
                  <w:tcW w:w="144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老人用物未定期消毒，便盆未及时清倒，衣被未及时晾晒，一次扣1分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学习</w:t>
                  </w:r>
                </w:p>
              </w:tc>
              <w:tc>
                <w:tcPr>
                  <w:tcW w:w="121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按时参加业务学习和护理查房</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4</w:t>
                  </w:r>
                </w:p>
              </w:tc>
              <w:tc>
                <w:tcPr>
                  <w:tcW w:w="1447"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违反者每次每项口2分</w:t>
                  </w: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58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1" w:type="pct"/>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考核得分</w:t>
                  </w:r>
                </w:p>
              </w:tc>
              <w:tc>
                <w:tcPr>
                  <w:tcW w:w="2618" w:type="pct"/>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r>
          </w:tbl>
          <w:p>
            <w:pPr>
              <w:pStyle w:val="5"/>
              <w:jc w:val="both"/>
            </w:pPr>
          </w:p>
          <w:p>
            <w:pPr>
              <w:pStyle w:val="5"/>
              <w:jc w:val="both"/>
            </w:pPr>
            <w:r>
              <w:rPr>
                <w:rFonts w:ascii="宋体" w:hAnsi="宋体" w:eastAsia="宋体" w:cs="宋体"/>
                <w:color w:val="000000"/>
                <w:sz w:val="24"/>
              </w:rPr>
              <w:t>3、老年人健康管理服务考核表</w:t>
            </w:r>
          </w:p>
          <w:tbl>
            <w:tblPr>
              <w:tblStyle w:val="3"/>
              <w:tblW w:w="4999"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99"/>
              <w:gridCol w:w="1567"/>
              <w:gridCol w:w="802"/>
              <w:gridCol w:w="1654"/>
              <w:gridCol w:w="799"/>
              <w:gridCol w:w="80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2" w:type="pc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序号</w:t>
                  </w:r>
                </w:p>
              </w:tc>
              <w:tc>
                <w:tcPr>
                  <w:tcW w:w="1220"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考核内容</w:t>
                  </w:r>
                </w:p>
              </w:tc>
              <w:tc>
                <w:tcPr>
                  <w:tcW w:w="622"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分值</w:t>
                  </w:r>
                </w:p>
              </w:tc>
              <w:tc>
                <w:tcPr>
                  <w:tcW w:w="1287"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评分标准</w:t>
                  </w:r>
                </w:p>
              </w:tc>
              <w:tc>
                <w:tcPr>
                  <w:tcW w:w="622"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得分</w:t>
                  </w:r>
                </w:p>
              </w:tc>
              <w:tc>
                <w:tcPr>
                  <w:tcW w:w="622"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扣分原因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1</w:t>
                  </w:r>
                </w:p>
              </w:tc>
              <w:tc>
                <w:tcPr>
                  <w:tcW w:w="122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每月按照采购人工作安排和要求，新建居民健康档案数量完成率不得低于每月安排数量的90%；新建居民健康档案信息数据录入合格率不得低于95%；确保档案真实有效。</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20分</w:t>
                  </w:r>
                </w:p>
              </w:tc>
              <w:tc>
                <w:tcPr>
                  <w:tcW w:w="128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每月任务完成率≥90%得6分，完成率＜90%得分=实际完成率/90%*6分；采购人每月按照不低于中标供应商任务完成量的50%进行质控：录入合格率≥95%得6分，合格率＜95%得分=实际合格率/95%*6分；档案真实有效率达100%得8分，一例不真实有效扣2分，扣完为止。</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2</w:t>
                  </w:r>
                </w:p>
              </w:tc>
              <w:tc>
                <w:tcPr>
                  <w:tcW w:w="122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每月按照采购人工作安排和要求，更新居民健康档案数量完成率不得低于每月安排数量的90%；更新居民健康档案信息数据录入合格率不得低于95%；确保档案真实有效。</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20分</w:t>
                  </w:r>
                </w:p>
              </w:tc>
              <w:tc>
                <w:tcPr>
                  <w:tcW w:w="128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每月任务完成率≥90%得6分，完成率＜90%得分=实际完成率/90%*6分；采购人每月按照不低于中标供应商任务完成量的50%进行质控：录入合格率≥95%得6分，合格率＜95%得分=实际合格率/95%*6分；档案真实有效率达100%得8分，一例不真实有效扣2分，扣完为止。</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3</w:t>
                  </w:r>
                </w:p>
              </w:tc>
              <w:tc>
                <w:tcPr>
                  <w:tcW w:w="122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每月按照采购人工作安排开展健康教育活动；开展健康教育活动时每场次不少于3个小时；每场次接受健康教育居民人数不得少于30人；每次活动按照采购人工作安排，发放健康教育宣传资料、用品或发放后完整填写物品发放登记表等工作记录；确保活动真实、有效。</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12分</w:t>
                  </w:r>
                </w:p>
              </w:tc>
              <w:tc>
                <w:tcPr>
                  <w:tcW w:w="128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开展健康教育活动时未满3个小时一次扣0.5分；接受健康教育居民人数未满30人，一次扣0.5分；未按照采购人工作安排，发放健康教育宣传资料、用品等，一次扣0.5分；未完整填写物品发放登记表等工作记录一次扣0.5分，扣完为止；一例不真实扣1分，扣完为止。</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4</w:t>
                  </w:r>
                </w:p>
              </w:tc>
              <w:tc>
                <w:tcPr>
                  <w:tcW w:w="122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按照老年人健康管理体检内容及流程完成老年人健康体检</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10分</w:t>
                  </w:r>
                </w:p>
              </w:tc>
              <w:tc>
                <w:tcPr>
                  <w:tcW w:w="128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未按要求完成体检，内容不完整1例扣0.5分；资料收集不完整1例扣0.5分，扣完为止。</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5</w:t>
                  </w:r>
                </w:p>
              </w:tc>
              <w:tc>
                <w:tcPr>
                  <w:tcW w:w="122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按照64岁及以下慢性病患者及高危人群体检内容及流程完成健康体检</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8分</w:t>
                  </w:r>
                </w:p>
              </w:tc>
              <w:tc>
                <w:tcPr>
                  <w:tcW w:w="128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未按要求完成体检，内容不完整1例扣0.5分；资料收集不完整1例扣0.5分，扣完为止。</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6</w:t>
                  </w:r>
                </w:p>
              </w:tc>
              <w:tc>
                <w:tcPr>
                  <w:tcW w:w="122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按照采购人要求，完成慢病患者随访管理要求及内容</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10分</w:t>
                  </w:r>
                </w:p>
              </w:tc>
              <w:tc>
                <w:tcPr>
                  <w:tcW w:w="128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未按照慢病患者随访要求进行随访管理服务，一例扣0.5分，扣完为止。</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7</w:t>
                  </w:r>
                </w:p>
              </w:tc>
              <w:tc>
                <w:tcPr>
                  <w:tcW w:w="122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按照采购人工作要求，按时准确录入慢病患者随访信息，利用信息化质控平台对录入信息开展全数据质控</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5分</w:t>
                  </w:r>
                </w:p>
              </w:tc>
              <w:tc>
                <w:tcPr>
                  <w:tcW w:w="128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一条数据录入质量不合格扣0.2分,扣完为止。</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8</w:t>
                  </w:r>
                </w:p>
              </w:tc>
              <w:tc>
                <w:tcPr>
                  <w:tcW w:w="122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遵守采购人工作制度、管理规定、服务期间态度端正、按照采购人要求着装，文明用语等</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4分</w:t>
                  </w:r>
                </w:p>
              </w:tc>
              <w:tc>
                <w:tcPr>
                  <w:tcW w:w="128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出现“验收考核内容”内所列条款中任意1项，一次扣0.5分,扣完为止。</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9</w:t>
                  </w:r>
                </w:p>
              </w:tc>
              <w:tc>
                <w:tcPr>
                  <w:tcW w:w="122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color w:val="000000"/>
                      <w:sz w:val="24"/>
                    </w:rPr>
                    <w:t>信访投诉</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6分</w:t>
                  </w:r>
                </w:p>
              </w:tc>
              <w:tc>
                <w:tcPr>
                  <w:tcW w:w="128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每发生一例扣1分，扣完为止。</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2"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10</w:t>
                  </w:r>
                </w:p>
              </w:tc>
              <w:tc>
                <w:tcPr>
                  <w:tcW w:w="122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服务期间，中标供应商必须按照采购人要求有序提供服务</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5分</w:t>
                  </w:r>
                </w:p>
              </w:tc>
              <w:tc>
                <w:tcPr>
                  <w:tcW w:w="128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color w:val="000000"/>
                      <w:sz w:val="24"/>
                    </w:rPr>
                    <w:t>未按照采购人要求提供服务的一次扣1分，中标供应商提供服务期间，造成人群拥堵等秩序混乱的情况一次扣1分，扣完为止。</w:t>
                  </w: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62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66" w:type="pct"/>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24"/>
                    </w:rPr>
                    <w:t>考核得分</w:t>
                  </w:r>
                </w:p>
              </w:tc>
              <w:tc>
                <w:tcPr>
                  <w:tcW w:w="2533" w:type="pct"/>
                  <w:gridSpan w:val="3"/>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p>
              </w:tc>
            </w:tr>
          </w:tbl>
          <w:p>
            <w:pPr>
              <w:pStyle w:val="5"/>
              <w:ind w:firstLine="640"/>
              <w:jc w:val="both"/>
            </w:pPr>
            <w:r>
              <w:rPr>
                <w:rFonts w:ascii="宋体" w:hAnsi="宋体" w:eastAsia="宋体" w:cs="宋体"/>
                <w:sz w:val="24"/>
              </w:rPr>
              <w:t>4、考核结果请如实填写，每月考核1次，须采购人签字确认。总体情况：①单项考核得分在90分以上的，付当月此项全部款项；②单项考核低于90分的，每低1分扣除当月当项款项的1%；③单项考核低于80分（不含）为不合格，采购人有权要求换人，连续两次考核不合格，视为年度考核不合格，采购人有权要求终止合同。</w:t>
            </w:r>
          </w:p>
          <w:p>
            <w:pPr>
              <w:pStyle w:val="5"/>
              <w:jc w:val="both"/>
            </w:pPr>
          </w:p>
          <w:p>
            <w:pPr>
              <w:pStyle w:val="5"/>
              <w:jc w:val="both"/>
            </w:pPr>
            <w:r>
              <w:rPr>
                <w:rFonts w:ascii="宋体" w:hAnsi="宋体" w:eastAsia="宋体" w:cs="宋体"/>
                <w:sz w:val="24"/>
              </w:rPr>
              <w:t>★</w:t>
            </w:r>
            <w:r>
              <w:rPr>
                <w:rFonts w:ascii="宋体" w:hAnsi="宋体" w:eastAsia="宋体" w:cs="宋体"/>
                <w:b/>
                <w:sz w:val="24"/>
              </w:rPr>
              <w:t>二、商务要求（因系统固化原因，本项目商务要求以此部分为准，“3.3商务要求”不作评审依据）</w:t>
            </w:r>
          </w:p>
          <w:p>
            <w:pPr>
              <w:pStyle w:val="5"/>
              <w:ind w:firstLine="640"/>
              <w:jc w:val="both"/>
            </w:pPr>
            <w:r>
              <w:rPr>
                <w:rFonts w:ascii="宋体" w:hAnsi="宋体" w:eastAsia="宋体" w:cs="宋体"/>
                <w:sz w:val="24"/>
              </w:rPr>
              <w:t>1、服务期限：自合同签订之日起1年。</w:t>
            </w:r>
          </w:p>
          <w:p>
            <w:pPr>
              <w:pStyle w:val="5"/>
              <w:ind w:firstLine="640"/>
              <w:jc w:val="both"/>
            </w:pPr>
            <w:r>
              <w:rPr>
                <w:rFonts w:ascii="宋体" w:hAnsi="宋体" w:eastAsia="宋体" w:cs="宋体"/>
                <w:sz w:val="24"/>
              </w:rPr>
              <w:t>2、服务地点：采购人指定地点。</w:t>
            </w:r>
          </w:p>
          <w:p>
            <w:pPr>
              <w:pStyle w:val="5"/>
              <w:ind w:firstLine="640"/>
              <w:jc w:val="both"/>
            </w:pPr>
            <w:r>
              <w:rPr>
                <w:rFonts w:ascii="宋体" w:hAnsi="宋体" w:eastAsia="宋体" w:cs="宋体"/>
                <w:sz w:val="24"/>
              </w:rPr>
              <w:t>3、付款方式：</w:t>
            </w:r>
          </w:p>
          <w:p>
            <w:pPr>
              <w:pStyle w:val="5"/>
              <w:ind w:firstLine="640"/>
              <w:jc w:val="both"/>
            </w:pPr>
            <w:r>
              <w:rPr>
                <w:rFonts w:ascii="宋体" w:hAnsi="宋体" w:eastAsia="宋体" w:cs="宋体"/>
                <w:sz w:val="24"/>
              </w:rPr>
              <w:t>3.1采购人在签订采购合同且收到发票后10个工作日内支付合同金额（预估）的40%作为预付款。</w:t>
            </w:r>
          </w:p>
          <w:p>
            <w:pPr>
              <w:pStyle w:val="5"/>
              <w:ind w:firstLine="640"/>
              <w:jc w:val="both"/>
            </w:pPr>
            <w:r>
              <w:rPr>
                <w:rFonts w:ascii="宋体" w:hAnsi="宋体" w:eastAsia="宋体" w:cs="宋体"/>
                <w:sz w:val="24"/>
              </w:rPr>
              <w:t>3.2根据每月考核后进行结算，第二个月前供应商向采购人出具发票，采购人在收到发票后10个工作日内向供应商付款。</w:t>
            </w:r>
          </w:p>
          <w:p>
            <w:pPr>
              <w:pStyle w:val="5"/>
              <w:ind w:firstLine="640"/>
              <w:jc w:val="both"/>
            </w:pPr>
            <w:r>
              <w:rPr>
                <w:rFonts w:ascii="宋体" w:hAnsi="宋体" w:eastAsia="宋体" w:cs="宋体"/>
                <w:sz w:val="24"/>
              </w:rPr>
              <w:t>3.3采购人在预算金额内进行支付，每月支付的款项先由预付款的金额进行冲抵，冲抵额度完结后才继续支付；每次款项采购人在收到发票后10个工作日内（预付款除外）将资金按时足额支付到约定账户。</w:t>
            </w:r>
          </w:p>
          <w:p>
            <w:pPr>
              <w:pStyle w:val="5"/>
              <w:ind w:firstLine="640"/>
              <w:jc w:val="both"/>
            </w:pPr>
            <w:r>
              <w:rPr>
                <w:rFonts w:ascii="宋体" w:hAnsi="宋体" w:eastAsia="宋体" w:cs="宋体"/>
                <w:sz w:val="24"/>
              </w:rPr>
              <w:t>3.4支付前提：中标供应商须提供等额的正规发票，如因中标供应商未按要求提供发票的，采购人有权拒绝支付款项并不承担违约责任。</w:t>
            </w:r>
          </w:p>
          <w:p>
            <w:pPr>
              <w:pStyle w:val="5"/>
              <w:ind w:firstLine="640"/>
              <w:jc w:val="both"/>
            </w:pPr>
            <w:r>
              <w:rPr>
                <w:rFonts w:ascii="宋体" w:hAnsi="宋体" w:eastAsia="宋体" w:cs="宋体"/>
                <w:sz w:val="24"/>
              </w:rPr>
              <w:t>3.5采购人逾期支付采购资金的违约责任：根据付款方式及合同要求，采购人如逾期支付款项，且未提供合理说明的，则按照每日利率万分之五支付逾期利息。</w:t>
            </w:r>
          </w:p>
          <w:p>
            <w:pPr>
              <w:pStyle w:val="5"/>
              <w:ind w:firstLine="640"/>
              <w:jc w:val="both"/>
            </w:pPr>
            <w:r>
              <w:rPr>
                <w:rFonts w:ascii="宋体" w:hAnsi="宋体" w:eastAsia="宋体" w:cs="宋体"/>
                <w:sz w:val="24"/>
              </w:rPr>
              <w:t>4、验收：</w:t>
            </w:r>
          </w:p>
          <w:p>
            <w:pPr>
              <w:pStyle w:val="5"/>
              <w:ind w:firstLine="640"/>
              <w:jc w:val="both"/>
            </w:pPr>
            <w:r>
              <w:rPr>
                <w:rFonts w:ascii="宋体" w:hAnsi="宋体" w:eastAsia="宋体" w:cs="宋体"/>
                <w:sz w:val="24"/>
              </w:rPr>
              <w:t>4.1履约验收主体：成都市双流区黄龙溪镇卫生院</w:t>
            </w:r>
          </w:p>
          <w:p>
            <w:pPr>
              <w:pStyle w:val="5"/>
              <w:ind w:firstLine="640"/>
              <w:jc w:val="both"/>
            </w:pPr>
            <w:r>
              <w:rPr>
                <w:rFonts w:ascii="宋体" w:hAnsi="宋体" w:eastAsia="宋体" w:cs="宋体"/>
                <w:sz w:val="24"/>
              </w:rPr>
              <w:t>4.2履约验收时间：中标供应商提出验收申请之日起10日内组织验收，考核验收</w:t>
            </w:r>
          </w:p>
          <w:p>
            <w:pPr>
              <w:pStyle w:val="5"/>
              <w:ind w:firstLine="640"/>
              <w:jc w:val="both"/>
            </w:pPr>
            <w:r>
              <w:rPr>
                <w:rFonts w:ascii="宋体" w:hAnsi="宋体" w:eastAsia="宋体" w:cs="宋体"/>
                <w:sz w:val="24"/>
              </w:rPr>
              <w:t>4.3验收组织方式：自行验收</w:t>
            </w:r>
          </w:p>
          <w:p>
            <w:pPr>
              <w:pStyle w:val="5"/>
              <w:ind w:firstLine="640"/>
              <w:jc w:val="both"/>
            </w:pPr>
            <w:r>
              <w:rPr>
                <w:rFonts w:ascii="宋体" w:hAnsi="宋体" w:eastAsia="宋体" w:cs="宋体"/>
                <w:sz w:val="24"/>
              </w:rPr>
              <w:t>4.4履约验收程序：一次性验收</w:t>
            </w:r>
          </w:p>
          <w:p>
            <w:pPr>
              <w:pStyle w:val="5"/>
              <w:ind w:firstLine="640"/>
              <w:jc w:val="both"/>
            </w:pPr>
            <w:r>
              <w:rPr>
                <w:rFonts w:ascii="宋体" w:hAnsi="宋体" w:eastAsia="宋体" w:cs="宋体"/>
                <w:sz w:val="24"/>
              </w:rPr>
              <w:t>4.5技术履约验收内容：按照本项目招标文件中“技术服务要求”及中标供应商投标文件进行验收。</w:t>
            </w:r>
          </w:p>
          <w:p>
            <w:pPr>
              <w:pStyle w:val="5"/>
              <w:ind w:firstLine="640"/>
              <w:jc w:val="both"/>
            </w:pPr>
            <w:r>
              <w:rPr>
                <w:rFonts w:ascii="宋体" w:hAnsi="宋体" w:eastAsia="宋体" w:cs="宋体"/>
                <w:sz w:val="24"/>
              </w:rPr>
              <w:t>4.6商务履约验收内容：按照本项目招标文件中“商务要求”及中标供应商投标文件进行验收。</w:t>
            </w:r>
          </w:p>
          <w:p>
            <w:pPr>
              <w:pStyle w:val="5"/>
              <w:ind w:firstLine="640"/>
              <w:jc w:val="both"/>
            </w:pPr>
            <w:r>
              <w:rPr>
                <w:rFonts w:ascii="宋体" w:hAnsi="宋体" w:eastAsia="宋体" w:cs="宋体"/>
                <w:sz w:val="24"/>
              </w:rPr>
              <w:t>4.7履约验收标准：本项目采购人将严格按照政府采购相关法律法规以及《财政部关于进一步加强政府采购需求和履约验收管理的指导意见》（财库〔2016〕205号）的要求、招标文件的要求以及投标文件的承诺进行验收。</w:t>
            </w:r>
          </w:p>
          <w:p>
            <w:pPr>
              <w:pStyle w:val="5"/>
              <w:ind w:firstLine="640"/>
              <w:jc w:val="both"/>
            </w:pPr>
            <w:r>
              <w:rPr>
                <w:rFonts w:ascii="宋体" w:hAnsi="宋体" w:eastAsia="宋体" w:cs="宋体"/>
                <w:sz w:val="24"/>
              </w:rPr>
              <w:t>5、违约责任</w:t>
            </w:r>
          </w:p>
          <w:p>
            <w:pPr>
              <w:pStyle w:val="5"/>
              <w:ind w:firstLine="640"/>
              <w:jc w:val="both"/>
            </w:pPr>
            <w:r>
              <w:rPr>
                <w:rFonts w:ascii="宋体" w:hAnsi="宋体" w:eastAsia="宋体" w:cs="宋体"/>
                <w:sz w:val="24"/>
              </w:rPr>
              <w:t>5.1除法律规定及本合同约定情形外，采购人与中标供应商双方不得单方面终止合同，单方面终止合同一方应按照合同总额的 20% 支付违约金。</w:t>
            </w:r>
          </w:p>
          <w:p>
            <w:pPr>
              <w:pStyle w:val="5"/>
              <w:ind w:firstLine="640"/>
              <w:jc w:val="both"/>
            </w:pPr>
            <w:r>
              <w:rPr>
                <w:rFonts w:ascii="宋体" w:hAnsi="宋体" w:eastAsia="宋体" w:cs="宋体"/>
                <w:sz w:val="24"/>
              </w:rPr>
              <w:t>5.2如因中标供应商工作人员在履行职务过程中的疏忽、失职、过错等故意或者过失原因给采购人造成损失、侵害或未按时按质完成工作内容(包括但不限于给受损方造成的经济损失、受损方为避免或减少损失支出的合理费用，受损方因此向任何第三方承担的法律责任，以及受损方为维护合法权益支出的诉讼费、保全费、鉴定费、公证费、差旅费、律师费等合理费用），采购人有权向中标供应商全部追偿。出现上述情况，采购人有权视情况通知中标供应商终止合同，不向中标供应商支付任何费用，中标供应商向采购人支付合同总价款【20】%的违约金并退还采购人已支付的全部费用。</w:t>
            </w:r>
          </w:p>
          <w:p>
            <w:pPr>
              <w:pStyle w:val="5"/>
              <w:ind w:firstLine="640"/>
              <w:jc w:val="left"/>
            </w:pPr>
            <w:r>
              <w:rPr>
                <w:rFonts w:ascii="宋体" w:hAnsi="宋体" w:eastAsia="宋体" w:cs="宋体"/>
                <w:sz w:val="24"/>
              </w:rPr>
              <w:t>5.3服务期间，本项目服务人员工作期间的疾病和人身安全、安全责任事故、劳务纠纷等，都由中标供应商自行负责，采购人对此不承担任何的责任和义务。</w:t>
            </w:r>
          </w:p>
          <w:p>
            <w:pPr>
              <w:pStyle w:val="5"/>
              <w:ind w:firstLine="640"/>
              <w:jc w:val="both"/>
            </w:pPr>
            <w:r>
              <w:rPr>
                <w:rFonts w:ascii="宋体" w:hAnsi="宋体" w:eastAsia="宋体" w:cs="宋体"/>
                <w:sz w:val="24"/>
              </w:rPr>
              <w:t>5.4因中标供应商责任，中标供应商逾期通过采购人验收，应按逾期天数向采购人支付合同总价款【1】‰/天的违约金。逾期超过【15】日，视为中标供应商根本违约，采购人有权书面通知中标供应商解除本合同，不向中标供应商支付任何费用，并要求中标供应商退还已支付的全部费用，中标供应商另按本合同总价款的【20】%承担违约责任。中标供应商工作成果未通过采购人验收返工整改的，按照本条约定向采购人承担违约责任。</w:t>
            </w:r>
          </w:p>
          <w:p>
            <w:pPr>
              <w:pStyle w:val="5"/>
              <w:ind w:firstLine="640"/>
              <w:jc w:val="both"/>
            </w:pPr>
            <w:r>
              <w:rPr>
                <w:rFonts w:ascii="宋体" w:hAnsi="宋体" w:eastAsia="宋体" w:cs="宋体"/>
                <w:sz w:val="24"/>
              </w:rPr>
              <w:t>5.5中标供应商存在其他违反本合同约定的情形，采购人有权要求中标供应商限期改正。如中标供应商在上述期限内未改正，采购人有权解除本合同，并要求中标供应商返还采购人已支付的款项，同时中标供应商除应向采购人支付本合同总价 10% 的违约金外，还应赔偿由此对采购人造成的损失。</w:t>
            </w:r>
          </w:p>
          <w:p>
            <w:pPr>
              <w:pStyle w:val="5"/>
              <w:ind w:firstLine="640"/>
              <w:jc w:val="both"/>
            </w:pPr>
            <w:r>
              <w:rPr>
                <w:rFonts w:ascii="宋体" w:hAnsi="宋体" w:eastAsia="宋体" w:cs="宋体"/>
                <w:sz w:val="24"/>
              </w:rPr>
              <w:t>5.6除承担违约责任外，中标供应商违约给采购人造成损失的（包括但不限于给采购人造成的经济损失、采购人为避免或减少损失支出的合理费用，采购人因此向任何第三方支付的违约金或赔偿的损失，以及采购人为维护合法权益支出的诉讼费、保全费、鉴定费、公证费、差旅费、律师费等合理费用），采购人有权向中标供应商全部追偿，采购人有权在应付款项中直接扣除该等损失费用，不足部分中标供应商应当及时支付。</w:t>
            </w:r>
          </w:p>
          <w:p>
            <w:pPr>
              <w:pStyle w:val="5"/>
              <w:ind w:firstLine="640"/>
              <w:jc w:val="both"/>
            </w:pPr>
            <w:r>
              <w:rPr>
                <w:rFonts w:ascii="宋体" w:hAnsi="宋体" w:eastAsia="宋体" w:cs="宋体"/>
                <w:sz w:val="24"/>
              </w:rPr>
              <w:t>6、其他要求</w:t>
            </w:r>
          </w:p>
          <w:p>
            <w:pPr>
              <w:pStyle w:val="5"/>
              <w:ind w:firstLine="640"/>
              <w:jc w:val="both"/>
            </w:pPr>
            <w:r>
              <w:rPr>
                <w:rFonts w:ascii="宋体" w:hAnsi="宋体" w:eastAsia="宋体" w:cs="宋体"/>
                <w:sz w:val="24"/>
              </w:rPr>
              <w:t>6.1中标供应商应保证所提供的服务或其任何一部分均不会侵犯任何第三方的专利权、商标权或著作权。如因此导致第三方向采购人主张权利的，中标供应商应承担全部责任，并赔偿采购人全部损失，包括但不限于向第三方支付的赔偿、诉讼成本等。</w:t>
            </w:r>
          </w:p>
          <w:p>
            <w:pPr>
              <w:pStyle w:val="5"/>
              <w:ind w:firstLine="640"/>
              <w:jc w:val="both"/>
            </w:pPr>
            <w:r>
              <w:rPr>
                <w:rFonts w:ascii="宋体" w:hAnsi="宋体" w:eastAsia="宋体" w:cs="宋体"/>
                <w:sz w:val="24"/>
              </w:rPr>
              <w:t>6.2人员要求：为保障项目质量稳定性，非采购人要求，中标供应商不得随意更换参与项目的核心工作人员。如因特殊情况造成人员变动，中标供应商应提前三个工作日，书面报告并提交同等替换人员简历经采购人批准且完成工作交接后方可进行调整，不可因团队人员变动造成项目的停滞或延误。</w:t>
            </w:r>
          </w:p>
          <w:p>
            <w:pPr>
              <w:pStyle w:val="5"/>
              <w:ind w:firstLine="640"/>
              <w:jc w:val="both"/>
            </w:pPr>
            <w:r>
              <w:rPr>
                <w:rFonts w:ascii="宋体" w:hAnsi="宋体" w:eastAsia="宋体" w:cs="宋体"/>
                <w:sz w:val="24"/>
              </w:rPr>
              <w:t>6.3保密管理：投标时承诺遵守相关保密规定，保证对在从事本项目中获悉的与采购人相关保密信息进行保密。所有通过公共渠道无法获得的信息、数据、报告、分析、研究文件或其他形式的信息，未经采购人同意，不得以泄露、发布、出版、传授、转让或者其他任何方式给任何第三方，保密期限不受合同期限的限制。</w:t>
            </w:r>
          </w:p>
          <w:p>
            <w:pPr>
              <w:pStyle w:val="5"/>
              <w:ind w:firstLine="640"/>
              <w:jc w:val="both"/>
            </w:pPr>
            <w:r>
              <w:rPr>
                <w:rFonts w:ascii="宋体" w:hAnsi="宋体" w:eastAsia="宋体" w:cs="宋体"/>
                <w:sz w:val="24"/>
              </w:rPr>
              <w:t>6.4采购文件未尽事宜由采购人和中标供应商在采购合同中另行协商约定。</w:t>
            </w:r>
          </w:p>
          <w:p>
            <w:pPr>
              <w:pStyle w:val="5"/>
              <w:jc w:val="both"/>
            </w:pPr>
          </w:p>
          <w:p>
            <w:pPr>
              <w:pStyle w:val="5"/>
              <w:jc w:val="both"/>
            </w:pPr>
            <w:r>
              <w:rPr>
                <w:rFonts w:ascii="宋体" w:hAnsi="宋体" w:eastAsia="宋体" w:cs="宋体"/>
                <w:b/>
                <w:sz w:val="24"/>
              </w:rPr>
              <w:t>三、综合履约要求</w:t>
            </w:r>
          </w:p>
          <w:p>
            <w:pPr>
              <w:pStyle w:val="5"/>
              <w:ind w:firstLine="640"/>
              <w:jc w:val="both"/>
            </w:pPr>
            <w:r>
              <w:rPr>
                <w:rFonts w:ascii="宋体" w:hAnsi="宋体" w:eastAsia="宋体" w:cs="宋体"/>
                <w:sz w:val="24"/>
              </w:rPr>
              <w:t>1、投标人针对本项目采购需求及采购人单位实地情况（可自行前往采购人单位考察场地情况、区域位置、科室区位分布等）提供项目服务方案，包括但不限于：</w:t>
            </w:r>
          </w:p>
          <w:p>
            <w:pPr>
              <w:pStyle w:val="5"/>
              <w:ind w:firstLine="640"/>
              <w:jc w:val="both"/>
            </w:pPr>
            <w:r>
              <w:rPr>
                <w:rFonts w:ascii="宋体" w:hAnsi="宋体" w:eastAsia="宋体" w:cs="宋体"/>
                <w:sz w:val="24"/>
              </w:rPr>
              <w:t>①供应商针对本项目需求的理解、项目重点难点分析及应对措施（需含对各项服务内容的理解、重难点分析、问题应对措施及建议）；②项目实施计划（针对各项服务内容提供服务工作流程、范围、服务目标说明、服务实施计划等）；③人员管理措施（针对各项服务内容提供服务团队工作岗位的安排、人员培训、管理制度及人员内部考核方案等）；④日常管理制度及监督巡查机制（针对各项服务内容提供总体管理制度、监督巡查机制等）；⑤应急服务方案（针对各项服务内容提供服务过程中服务人员工伤（亡）事件处置、服务过程中服务人员临时缺岗应急处置、服务过程中服务人员劳动争议解决、服务过程中服务安全事故处置方案等）；⑥质量保障措施（针对各项服务内容提供质量控制计划及目标、项目进度保障措施、服务质量投诉整改应对措施等）。</w:t>
            </w:r>
          </w:p>
          <w:p>
            <w:pPr>
              <w:pStyle w:val="5"/>
              <w:jc w:val="both"/>
            </w:pPr>
          </w:p>
          <w:p>
            <w:pPr>
              <w:pStyle w:val="5"/>
              <w:ind w:firstLine="640"/>
              <w:jc w:val="both"/>
            </w:pPr>
          </w:p>
        </w:tc>
      </w:tr>
    </w:tbl>
    <w:p>
      <w:pPr>
        <w:pStyle w:val="5"/>
        <w:outlineLvl w:val="3"/>
      </w:pPr>
      <w:r>
        <w:rPr>
          <w:b/>
          <w:sz w:val="24"/>
        </w:rPr>
        <w:t>3.2.3人员配置要求</w:t>
      </w:r>
    </w:p>
    <w:p>
      <w:pPr>
        <w:pStyle w:val="5"/>
      </w:pPr>
    </w:p>
    <w:p>
      <w:pPr>
        <w:pStyle w:val="5"/>
      </w:pPr>
    </w:p>
    <w:p>
      <w:pPr>
        <w:pStyle w:val="5"/>
      </w:pPr>
    </w:p>
    <w:p>
      <w:pPr>
        <w:pStyle w:val="5"/>
      </w:pPr>
      <w:r>
        <w:t>采购包1：</w:t>
      </w:r>
    </w:p>
    <w:p>
      <w:pPr>
        <w:pStyle w:val="5"/>
      </w:pPr>
      <w:r>
        <w:t>详见招标文件3.2.2服务要求。</w:t>
      </w:r>
    </w:p>
    <w:p>
      <w:pPr>
        <w:pStyle w:val="5"/>
        <w:outlineLvl w:val="3"/>
      </w:pPr>
      <w:r>
        <w:rPr>
          <w:b/>
          <w:sz w:val="24"/>
        </w:rPr>
        <w:t>3.2.4设施设备配置要求</w:t>
      </w:r>
    </w:p>
    <w:p>
      <w:pPr>
        <w:pStyle w:val="5"/>
      </w:pPr>
    </w:p>
    <w:p>
      <w:pPr>
        <w:pStyle w:val="5"/>
      </w:pPr>
    </w:p>
    <w:p>
      <w:pPr>
        <w:pStyle w:val="5"/>
      </w:pPr>
    </w:p>
    <w:p>
      <w:pPr>
        <w:pStyle w:val="5"/>
      </w:pPr>
      <w:r>
        <w:t>采购包1：</w:t>
      </w:r>
    </w:p>
    <w:p>
      <w:pPr>
        <w:pStyle w:val="5"/>
      </w:pPr>
      <w:r>
        <w:t>详见招标文件3.2.2服务要求。</w:t>
      </w:r>
    </w:p>
    <w:p>
      <w:pPr>
        <w:pStyle w:val="5"/>
        <w:outlineLvl w:val="3"/>
      </w:pPr>
      <w:r>
        <w:rPr>
          <w:b/>
          <w:sz w:val="24"/>
        </w:rPr>
        <w:t>3.2.5其他要求</w:t>
      </w:r>
    </w:p>
    <w:p>
      <w:pPr>
        <w:pStyle w:val="5"/>
      </w:pPr>
    </w:p>
    <w:p>
      <w:pPr>
        <w:pStyle w:val="5"/>
      </w:pPr>
    </w:p>
    <w:p>
      <w:pPr>
        <w:pStyle w:val="5"/>
      </w:pPr>
    </w:p>
    <w:p>
      <w:pPr>
        <w:pStyle w:val="5"/>
      </w:pPr>
      <w:r>
        <w:t>采购包1：</w:t>
      </w:r>
    </w:p>
    <w:p>
      <w:pPr>
        <w:pStyle w:val="5"/>
      </w:pPr>
      <w:r>
        <w:t>综合履约要求 1、投标人针对本项目及采购需求提供项目服务方案，包括但不限于： ①供应商针对本项目需求的理解、项目重点难点分析及应对措施；②项目实施计划（服务流程、范围、目标说明、服务实施计划等）；③人员配置（服务团队人员配置、工作岗位的安排、人员培训、管理制度及考核方案等）；④日常管理制度及监督巡查机制；⑤应急服务方案（服务过程中服务人员工伤（亡）事件处置、服务过程中服务人员临时缺岗应急处置、服务过程中服务人员劳动争议解决、服务过程中服务安全事故处置方案等）；⑥质量保障措施（质量控制计划及目标、质量管控制度、项目进度保障措施、服务质量投诉整改应对措施等）。</w:t>
      </w:r>
    </w:p>
    <w:p>
      <w:pPr>
        <w:pStyle w:val="5"/>
        <w:outlineLvl w:val="2"/>
      </w:pPr>
      <w:r>
        <w:rPr>
          <w:b/>
          <w:sz w:val="28"/>
        </w:rPr>
        <w:t>3.3商务要求</w:t>
      </w:r>
    </w:p>
    <w:p>
      <w:pPr>
        <w:pStyle w:val="5"/>
        <w:outlineLvl w:val="3"/>
      </w:pPr>
      <w:r>
        <w:rPr>
          <w:b/>
          <w:sz w:val="24"/>
        </w:rPr>
        <w:t>3.3.1服务期限</w:t>
      </w:r>
    </w:p>
    <w:p>
      <w:pPr>
        <w:pStyle w:val="5"/>
      </w:pPr>
    </w:p>
    <w:p>
      <w:pPr>
        <w:pStyle w:val="5"/>
      </w:pPr>
    </w:p>
    <w:p>
      <w:pPr>
        <w:pStyle w:val="5"/>
      </w:pPr>
    </w:p>
    <w:p>
      <w:pPr>
        <w:pStyle w:val="5"/>
      </w:pPr>
      <w:r>
        <w:t>采购包1：</w:t>
      </w:r>
    </w:p>
    <w:p>
      <w:pPr>
        <w:pStyle w:val="5"/>
      </w:pPr>
      <w:r>
        <w:t xml:space="preserve"> 自合同签订之日起365日</w:t>
      </w:r>
    </w:p>
    <w:p>
      <w:pPr>
        <w:pStyle w:val="5"/>
        <w:outlineLvl w:val="3"/>
      </w:pPr>
      <w:r>
        <w:rPr>
          <w:b/>
          <w:sz w:val="24"/>
        </w:rPr>
        <w:t>3.3.2服务地点</w:t>
      </w:r>
    </w:p>
    <w:p>
      <w:pPr>
        <w:pStyle w:val="5"/>
      </w:pPr>
    </w:p>
    <w:p>
      <w:pPr>
        <w:pStyle w:val="5"/>
      </w:pPr>
    </w:p>
    <w:p>
      <w:pPr>
        <w:pStyle w:val="5"/>
      </w:pPr>
    </w:p>
    <w:p>
      <w:pPr>
        <w:pStyle w:val="5"/>
      </w:pPr>
      <w:r>
        <w:t>采购包1：</w:t>
      </w:r>
    </w:p>
    <w:p>
      <w:pPr>
        <w:pStyle w:val="5"/>
      </w:pPr>
      <w:r>
        <w:t>成都市双流区黄龙溪镇卫生院</w:t>
      </w:r>
    </w:p>
    <w:p>
      <w:pPr>
        <w:pStyle w:val="5"/>
        <w:outlineLvl w:val="3"/>
      </w:pPr>
      <w:r>
        <w:rPr>
          <w:b/>
          <w:sz w:val="24"/>
        </w:rPr>
        <w:t>3.3.3考核（验收）标准和方法</w:t>
      </w:r>
    </w:p>
    <w:p>
      <w:pPr>
        <w:pStyle w:val="5"/>
      </w:pPr>
    </w:p>
    <w:p>
      <w:pPr>
        <w:pStyle w:val="5"/>
      </w:pPr>
    </w:p>
    <w:p>
      <w:pPr>
        <w:pStyle w:val="5"/>
      </w:pPr>
    </w:p>
    <w:p>
      <w:pPr>
        <w:pStyle w:val="5"/>
      </w:pPr>
      <w:r>
        <w:t>采购包1：</w:t>
      </w:r>
    </w:p>
    <w:p>
      <w:pPr>
        <w:pStyle w:val="5"/>
      </w:pPr>
      <w:r>
        <w:t>1.履约验收主体：成都市双流区黄龙溪镇卫生院 2.履约验收时间：中标供应商提出验收申请之日起10日内组织验收，考核验收 3.验收组织方式：自行验收 4.履约验收程序：一次性验收 5.技术履约验收内容：按照本项目招标文件中“技术服务要求”及中标供应商投标文件进行验收。 6.商务履约验收内容：按照本项目招标文件中“商务要求”及中标供应商投标文件进行验收。 7.履约验收标准：本项目采购人将严格按照政府采购相关法律法规以及《财政部关于进一步加强政府采购需求和履约验收管理的指导意见》（财库〔2016〕205号）的要求、招标文件的要求以及投标文件的承诺进行验收。</w:t>
      </w:r>
    </w:p>
    <w:p>
      <w:pPr>
        <w:pStyle w:val="5"/>
        <w:outlineLvl w:val="3"/>
      </w:pPr>
      <w:r>
        <w:rPr>
          <w:b/>
          <w:sz w:val="24"/>
        </w:rPr>
        <w:t>3.3.4支付方式</w:t>
      </w:r>
    </w:p>
    <w:p>
      <w:pPr>
        <w:pStyle w:val="5"/>
      </w:pPr>
    </w:p>
    <w:p>
      <w:pPr>
        <w:pStyle w:val="5"/>
      </w:pPr>
    </w:p>
    <w:p>
      <w:pPr>
        <w:pStyle w:val="5"/>
      </w:pPr>
    </w:p>
    <w:p>
      <w:pPr>
        <w:pStyle w:val="5"/>
      </w:pPr>
      <w:r>
        <w:t>采购包1：</w:t>
      </w:r>
    </w:p>
    <w:p>
      <w:pPr>
        <w:pStyle w:val="5"/>
      </w:pPr>
      <w:r>
        <w:t>分期付款</w:t>
      </w:r>
    </w:p>
    <w:p>
      <w:pPr>
        <w:pStyle w:val="5"/>
        <w:outlineLvl w:val="3"/>
      </w:pPr>
      <w:r>
        <w:rPr>
          <w:b/>
          <w:sz w:val="24"/>
        </w:rPr>
        <w:t>3.3.5.支付约定</w:t>
      </w:r>
    </w:p>
    <w:p>
      <w:pPr>
        <w:pStyle w:val="5"/>
      </w:pPr>
    </w:p>
    <w:p>
      <w:pPr>
        <w:pStyle w:val="5"/>
      </w:pPr>
    </w:p>
    <w:p>
      <w:pPr>
        <w:pStyle w:val="5"/>
      </w:pPr>
    </w:p>
    <w:p>
      <w:pPr>
        <w:pStyle w:val="5"/>
      </w:pPr>
      <w:r>
        <w:t>采购包1： 付款条件说明： 采购人在签订采购合同且收到发票后 ，达到付款条件起 10 日内，支付合同总金额的 40.00%。</w:t>
      </w:r>
    </w:p>
    <w:p>
      <w:pPr>
        <w:pStyle w:val="5"/>
      </w:pPr>
      <w:r>
        <w:t>采购包1： 付款条件说明： 采购人在预算金额内进行支付，每月支付的款项先由预付款的金额进行冲抵，冲抵额度完结后才继续支付；每次款项采购人在收到发票后10个工作日内（预付款除外）将资金按时足额支付到约定账户。 ，达到付款条件起 10 日内，支付合同总金额的 60.00%。</w:t>
      </w:r>
    </w:p>
    <w:p>
      <w:pPr>
        <w:pStyle w:val="5"/>
        <w:outlineLvl w:val="3"/>
      </w:pPr>
      <w:r>
        <w:rPr>
          <w:b/>
          <w:sz w:val="24"/>
        </w:rPr>
        <w:t>3.3.6违约责任与解决争议的方法</w:t>
      </w:r>
    </w:p>
    <w:p>
      <w:pPr>
        <w:pStyle w:val="5"/>
      </w:pPr>
    </w:p>
    <w:p>
      <w:pPr>
        <w:pStyle w:val="5"/>
      </w:pPr>
    </w:p>
    <w:p>
      <w:pPr>
        <w:pStyle w:val="5"/>
      </w:pPr>
    </w:p>
    <w:p>
      <w:pPr>
        <w:pStyle w:val="5"/>
      </w:pPr>
      <w:r>
        <w:t>采购包1：</w:t>
      </w:r>
    </w:p>
    <w:p>
      <w:pPr>
        <w:pStyle w:val="5"/>
      </w:pPr>
      <w:r>
        <w:t>违约责任 1.除法律规定及本合同约定情形外，采购人与中标供应商双方不得单方面终止合同，单方面终止合同一方应按照合同总额的 20% 支付违约金。 2.如因中标供应商工作人员在履行职务过程中的疏忽、失职、过错等故意或者过失原因给采购人造成损失、侵害或未按时按质完成工作内容(包括但不限于给受损方造成的经济损失、受损方为避免或减少损失支出的合理费用，受损方因此向任何第三方承担的法律责任，以及受损方为维护合法权益支出的诉讼费、保全费、鉴定费、公证费、差旅费、律师费等合理费用），采购人有权向中标供应商全部追偿。出现上述情况，采购人有权视情况通知中标供应商终止合同，不向中标供应商支付任何费用，中标供应商向采购人支付合同总价款【20】%的违约金并退还采购人已支付的全部费用。 3.服务期间，本项目服务人员工作期间的疾病和人身安全、安全责任事故、劳务纠纷等，都由中标供应商自行负责，采购人对此不承担任何的责任和义务。 4.因中标供应商责任，中标供应商逾期通过采购人验收，应按逾期天数向采购人支付合同总价款【1】‰/天的违约金。逾期超过【15】日，视为中标供应商根本违约，采购人有权书面通知中标供应商解除本合同，不向中标供应商支付任何费用，并要求中标供应商退还已支付的全部费用，中标供应商另按本合同总价款的【20】%承担违约责任。中标供应商工作成果未通过采购人验收返工整改的，按照本条约定向采购人承担违约责任。 5.中标供应商存在其他违反本合同约定的情形，采购人有权要求中标供应商限期改正。如中标供应商在上述期限内未改正，采购人有权解除本合同，并要求中标供应商返还采购人已支付的款项，同时中标供应商除应向采购人支付本合同总价 10% 的违约金外，还应赔偿由此对采购人造成的损失。 6.除承担违约责任外，中标供应商违约给采购人造成损失的（包括但不限于给采购人造成的经济损失、采购人为避免或减少损失支出的合理费用，采购人因此向任何第三方支付的违约金或赔偿的损失，以及采购人为维护合法权益支出的诉讼费、保全费、鉴定费、公证费、差旅费、律师费等合理费用），采购人有权向中标供应商全部追偿，采购人有权在应付款项中直接扣除该等损失费用，不足部分中标供应商应当及时支付。</w:t>
      </w:r>
    </w:p>
    <w:p>
      <w:pPr>
        <w:pStyle w:val="5"/>
        <w:jc w:val="left"/>
        <w:outlineLvl w:val="2"/>
      </w:pPr>
      <w:r>
        <w:rPr>
          <w:b/>
          <w:sz w:val="28"/>
        </w:rPr>
        <w:t>3.4其他要求</w:t>
      </w:r>
    </w:p>
    <w:p>
      <w:pPr>
        <w:pStyle w:val="5"/>
      </w:pPr>
    </w:p>
    <w:p>
      <w:pPr>
        <w:pStyle w:val="5"/>
      </w:pPr>
    </w:p>
    <w:p>
      <w:pPr>
        <w:pStyle w:val="5"/>
      </w:pPr>
      <w:r>
        <w:t>★（1）单项报价要求：投标人自行根据项目需求情况报出本项目“收费管理服务””护理管理服务“”老年人健康管理服务”的价格。★（2）因系统固化原因，本项目分项报价以《分项报价表2》为准，《分项报价表1》不做评审依据，其中《分项报价表1》中数量写“1”，单价填总价报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iMDMxNGEzYTA0NDRkMmZlOTYwZTYxMDc0MGExMGUifQ=="/>
  </w:docVars>
  <w:rsids>
    <w:rsidRoot w:val="00000000"/>
    <w:rsid w:val="13D475F9"/>
    <w:rsid w:val="1B232B9A"/>
    <w:rsid w:val="66882A12"/>
    <w:rsid w:val="7127230E"/>
    <w:rsid w:val="7E242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afterLines="0" w:afterAutospacing="0"/>
    </w:pPr>
  </w:style>
  <w:style w:type="paragraph" w:customStyle="1" w:styleId="5">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2024-04-17T07:40:07Z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1BF1600B237F472BA1A27130E272778D</vt:lpwstr>
  </property>
</Properties>
</file>