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00" w:lineRule="exact"/>
        <w:ind w:right="118"/>
        <w:outlineLvl w:val="1"/>
        <w:rPr>
          <w:rFonts w:ascii="仿宋" w:hAnsi="仿宋" w:eastAsia="仿宋" w:cs="仿宋"/>
          <w:b/>
          <w:bCs/>
          <w:color w:val="auto"/>
          <w:sz w:val="28"/>
          <w:szCs w:val="28"/>
          <w:highlight w:val="none"/>
          <w:lang w:val="zh-CN" w:bidi="zh-CN"/>
        </w:rPr>
      </w:pPr>
      <w:r>
        <w:rPr>
          <w:rFonts w:hint="eastAsia" w:ascii="仿宋" w:hAnsi="仿宋" w:eastAsia="仿宋" w:cs="仿宋"/>
          <w:b/>
          <w:bCs/>
          <w:color w:val="auto"/>
          <w:sz w:val="28"/>
          <w:szCs w:val="28"/>
          <w:highlight w:val="none"/>
          <w:lang w:val="zh-CN" w:bidi="zh-CN"/>
        </w:rPr>
        <w:t>一、项目概述</w:t>
      </w:r>
    </w:p>
    <w:p>
      <w:pPr>
        <w:wordWrap w:val="0"/>
        <w:spacing w:line="500" w:lineRule="exact"/>
        <w:jc w:val="left"/>
        <w:rPr>
          <w:rFonts w:ascii="仿宋" w:hAnsi="仿宋" w:eastAsia="仿宋" w:cs="仿宋"/>
          <w:color w:val="auto"/>
          <w:sz w:val="28"/>
          <w:szCs w:val="28"/>
          <w:highlight w:val="none"/>
          <w:lang w:val="zh-CN" w:bidi="zh-CN"/>
        </w:rPr>
      </w:pPr>
      <w:r>
        <w:rPr>
          <w:rFonts w:hint="eastAsia" w:ascii="仿宋" w:hAnsi="仿宋" w:eastAsia="仿宋" w:cs="仿宋"/>
          <w:color w:val="auto"/>
          <w:sz w:val="28"/>
          <w:szCs w:val="28"/>
          <w:highlight w:val="none"/>
          <w:lang w:val="zh-CN" w:bidi="zh-CN"/>
        </w:rPr>
        <w:t>四川省肿瘤医院拟采购</w:t>
      </w:r>
      <w:r>
        <w:rPr>
          <w:rFonts w:hint="eastAsia" w:ascii="仿宋" w:hAnsi="仿宋" w:eastAsia="仿宋" w:cs="仿宋"/>
          <w:color w:val="auto"/>
          <w:sz w:val="28"/>
          <w:szCs w:val="28"/>
          <w:highlight w:val="none"/>
          <w:lang w:val="en-US" w:bidi="zh-CN"/>
        </w:rPr>
        <w:t>危险废物清掏及转运处置服务</w:t>
      </w:r>
      <w:r>
        <w:rPr>
          <w:rFonts w:hint="eastAsia" w:ascii="仿宋" w:hAnsi="仿宋" w:eastAsia="仿宋" w:cs="仿宋"/>
          <w:color w:val="auto"/>
          <w:sz w:val="28"/>
          <w:szCs w:val="28"/>
          <w:highlight w:val="none"/>
          <w:lang w:val="zh-CN" w:bidi="zh-CN"/>
        </w:rPr>
        <w:t>，本项目为1个包。</w:t>
      </w:r>
    </w:p>
    <w:p>
      <w:pPr>
        <w:wordWrap w:val="0"/>
        <w:spacing w:line="500" w:lineRule="exact"/>
        <w:jc w:val="left"/>
        <w:outlineLvl w:val="1"/>
        <w:rPr>
          <w:rFonts w:ascii="仿宋" w:hAnsi="仿宋" w:eastAsia="仿宋" w:cs="仿宋"/>
          <w:b/>
          <w:bCs/>
          <w:color w:val="auto"/>
          <w:sz w:val="28"/>
          <w:szCs w:val="28"/>
          <w:highlight w:val="none"/>
          <w:lang w:bidi="zh-CN"/>
        </w:rPr>
      </w:pPr>
      <w:r>
        <w:rPr>
          <w:rFonts w:hint="eastAsia" w:ascii="仿宋" w:hAnsi="仿宋" w:eastAsia="仿宋" w:cs="仿宋"/>
          <w:b/>
          <w:bCs/>
          <w:color w:val="auto"/>
          <w:sz w:val="28"/>
          <w:szCs w:val="28"/>
          <w:highlight w:val="none"/>
          <w:lang w:bidi="zh-CN"/>
        </w:rPr>
        <w:t>二、采购清单</w:t>
      </w:r>
    </w:p>
    <w:tbl>
      <w:tblPr>
        <w:tblStyle w:val="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739"/>
        <w:gridCol w:w="2307"/>
        <w:gridCol w:w="1892"/>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6" w:type="pct"/>
            <w:vAlign w:val="center"/>
          </w:tcPr>
          <w:p>
            <w:pPr>
              <w:widowControl/>
              <w:spacing w:line="240" w:lineRule="auto"/>
              <w:jc w:val="center"/>
              <w:outlineLvl w:val="1"/>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序号</w:t>
            </w:r>
          </w:p>
        </w:tc>
        <w:tc>
          <w:tcPr>
            <w:tcW w:w="1375" w:type="pct"/>
            <w:vAlign w:val="center"/>
          </w:tcPr>
          <w:p>
            <w:pPr>
              <w:widowControl/>
              <w:spacing w:line="240" w:lineRule="auto"/>
              <w:jc w:val="center"/>
              <w:outlineLvl w:val="1"/>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标的名称</w:t>
            </w:r>
          </w:p>
        </w:tc>
        <w:tc>
          <w:tcPr>
            <w:tcW w:w="1158" w:type="pct"/>
            <w:vAlign w:val="center"/>
          </w:tcPr>
          <w:p>
            <w:pPr>
              <w:widowControl/>
              <w:spacing w:line="240" w:lineRule="auto"/>
              <w:jc w:val="center"/>
              <w:outlineLvl w:val="1"/>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★单价限价（万元</w:t>
            </w:r>
            <w:r>
              <w:rPr>
                <w:rFonts w:hint="eastAsia" w:ascii="仿宋" w:hAnsi="仿宋" w:eastAsia="仿宋" w:cs="宋体"/>
                <w:color w:val="auto"/>
                <w:sz w:val="24"/>
                <w:szCs w:val="24"/>
                <w:highlight w:val="none"/>
                <w:lang w:val="en-US" w:eastAsia="zh-CN"/>
              </w:rPr>
              <w:t>/年</w:t>
            </w:r>
            <w:r>
              <w:rPr>
                <w:rFonts w:hint="eastAsia" w:ascii="仿宋" w:hAnsi="仿宋" w:eastAsia="仿宋" w:cs="宋体"/>
                <w:color w:val="auto"/>
                <w:sz w:val="24"/>
                <w:szCs w:val="24"/>
                <w:highlight w:val="none"/>
              </w:rPr>
              <w:t>）</w:t>
            </w:r>
          </w:p>
        </w:tc>
        <w:tc>
          <w:tcPr>
            <w:tcW w:w="950" w:type="pct"/>
            <w:vAlign w:val="center"/>
          </w:tcPr>
          <w:p>
            <w:pPr>
              <w:widowControl/>
              <w:spacing w:line="240" w:lineRule="auto"/>
              <w:jc w:val="center"/>
              <w:outlineLvl w:val="1"/>
              <w:rPr>
                <w:rFonts w:ascii="仿宋" w:hAnsi="仿宋" w:eastAsia="仿宋" w:cs="宋体"/>
                <w:color w:val="auto"/>
                <w:sz w:val="24"/>
                <w:szCs w:val="24"/>
                <w:highlight w:val="none"/>
              </w:rPr>
            </w:pPr>
            <w:r>
              <w:rPr>
                <w:rFonts w:hint="eastAsia" w:ascii="仿宋" w:hAnsi="仿宋" w:eastAsia="仿宋" w:cs="宋体"/>
                <w:b w:val="0"/>
                <w:bCs w:val="0"/>
                <w:color w:val="auto"/>
                <w:sz w:val="24"/>
                <w:szCs w:val="24"/>
                <w:highlight w:val="none"/>
              </w:rPr>
              <w:t>★</w:t>
            </w:r>
            <w:r>
              <w:rPr>
                <w:rFonts w:hint="eastAsia" w:ascii="仿宋" w:hAnsi="仿宋" w:eastAsia="仿宋" w:cs="宋体"/>
                <w:color w:val="auto"/>
                <w:sz w:val="24"/>
                <w:szCs w:val="24"/>
                <w:highlight w:val="none"/>
              </w:rPr>
              <w:t>数量及单位</w:t>
            </w:r>
          </w:p>
        </w:tc>
        <w:tc>
          <w:tcPr>
            <w:tcW w:w="1079" w:type="pct"/>
            <w:vAlign w:val="center"/>
          </w:tcPr>
          <w:p>
            <w:pPr>
              <w:widowControl/>
              <w:spacing w:line="240" w:lineRule="auto"/>
              <w:jc w:val="center"/>
              <w:outlineLvl w:val="1"/>
              <w:rPr>
                <w:rFonts w:hint="eastAsia" w:ascii="仿宋" w:hAnsi="仿宋" w:eastAsia="仿宋" w:cs="宋体"/>
                <w:b/>
                <w:bCs/>
                <w:color w:val="auto"/>
                <w:sz w:val="24"/>
                <w:szCs w:val="24"/>
                <w:highlight w:val="none"/>
              </w:rPr>
            </w:pPr>
            <w:r>
              <w:rPr>
                <w:rFonts w:hint="eastAsia" w:ascii="仿宋" w:hAnsi="仿宋" w:eastAsia="仿宋" w:cs="宋体"/>
                <w:color w:val="auto"/>
                <w:sz w:val="24"/>
                <w:szCs w:val="24"/>
                <w:highlight w:val="none"/>
              </w:rPr>
              <w:t>★总价限价（万元</w:t>
            </w:r>
            <w:r>
              <w:rPr>
                <w:rFonts w:hint="eastAsia" w:ascii="仿宋" w:hAnsi="仿宋" w:eastAsia="仿宋" w:cs="宋体"/>
                <w:color w:val="auto"/>
                <w:sz w:val="24"/>
                <w:szCs w:val="24"/>
                <w:highlight w:val="none"/>
                <w:lang w:val="en-US" w:eastAsia="zh-CN"/>
              </w:rPr>
              <w:t>/年</w:t>
            </w:r>
            <w:r>
              <w:rPr>
                <w:rFonts w:hint="eastAsia" w:ascii="仿宋" w:hAnsi="仿宋" w:eastAsia="仿宋"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6" w:type="pct"/>
            <w:vAlign w:val="center"/>
          </w:tcPr>
          <w:p>
            <w:pPr>
              <w:widowControl/>
              <w:spacing w:line="240" w:lineRule="auto"/>
              <w:jc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w:t>
            </w:r>
          </w:p>
        </w:tc>
        <w:tc>
          <w:tcPr>
            <w:tcW w:w="1375" w:type="pct"/>
            <w:vAlign w:val="center"/>
          </w:tcPr>
          <w:p>
            <w:pPr>
              <w:widowControl/>
              <w:spacing w:line="240" w:lineRule="auto"/>
              <w:jc w:val="center"/>
              <w:rPr>
                <w:rFonts w:hint="eastAsia" w:ascii="仿宋" w:hAnsi="仿宋" w:eastAsia="仿宋" w:cs="宋体"/>
                <w:color w:val="auto"/>
                <w:sz w:val="24"/>
                <w:szCs w:val="24"/>
                <w:highlight w:val="none"/>
                <w:lang w:eastAsia="zh-CN"/>
              </w:rPr>
            </w:pPr>
            <w:r>
              <w:rPr>
                <w:rFonts w:hint="eastAsia" w:ascii="仿宋" w:hAnsi="仿宋" w:eastAsia="仿宋" w:cs="宋体"/>
                <w:color w:val="auto"/>
                <w:sz w:val="24"/>
                <w:szCs w:val="24"/>
                <w:highlight w:val="none"/>
                <w:lang w:eastAsia="zh-CN"/>
              </w:rPr>
              <w:t>危险废物清掏及转运处置服务</w:t>
            </w:r>
          </w:p>
        </w:tc>
        <w:tc>
          <w:tcPr>
            <w:tcW w:w="1158" w:type="pct"/>
            <w:vAlign w:val="center"/>
          </w:tcPr>
          <w:p>
            <w:pPr>
              <w:widowControl/>
              <w:spacing w:line="240" w:lineRule="auto"/>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63</w:t>
            </w:r>
          </w:p>
        </w:tc>
        <w:tc>
          <w:tcPr>
            <w:tcW w:w="950" w:type="pct"/>
            <w:vAlign w:val="center"/>
          </w:tcPr>
          <w:p>
            <w:pPr>
              <w:widowControl/>
              <w:spacing w:line="240" w:lineRule="auto"/>
              <w:jc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w:t>
            </w:r>
          </w:p>
        </w:tc>
        <w:tc>
          <w:tcPr>
            <w:tcW w:w="1079" w:type="pct"/>
            <w:vAlign w:val="center"/>
          </w:tcPr>
          <w:p>
            <w:pPr>
              <w:widowControl/>
              <w:spacing w:line="240" w:lineRule="auto"/>
              <w:jc w:val="center"/>
              <w:rPr>
                <w:rFonts w:hint="default"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63</w:t>
            </w:r>
          </w:p>
        </w:tc>
      </w:tr>
    </w:tbl>
    <w:p>
      <w:pPr>
        <w:widowControl w:val="0"/>
        <w:autoSpaceDE w:val="0"/>
        <w:autoSpaceDN w:val="0"/>
        <w:adjustRightInd w:val="0"/>
        <w:snapToGrid w:val="0"/>
        <w:spacing w:before="0" w:after="0" w:line="500" w:lineRule="exact"/>
        <w:ind w:left="0" w:right="0"/>
        <w:jc w:val="both"/>
        <w:textAlignment w:val="baseline"/>
        <w:rPr>
          <w:rFonts w:ascii="仿宋" w:hAnsi="仿宋" w:eastAsia="仿宋" w:cs="仿宋"/>
          <w:color w:val="auto"/>
          <w:sz w:val="28"/>
          <w:szCs w:val="28"/>
          <w:highlight w:val="none"/>
          <w:lang w:val="en-US" w:eastAsia="zh-CN" w:bidi="ar-SA"/>
        </w:rPr>
      </w:pPr>
      <w:r>
        <w:rPr>
          <w:rFonts w:hint="eastAsia" w:ascii="仿宋" w:hAnsi="仿宋" w:eastAsia="仿宋" w:cs="仿宋"/>
          <w:b/>
          <w:bCs/>
          <w:color w:val="auto"/>
          <w:sz w:val="28"/>
          <w:szCs w:val="28"/>
          <w:highlight w:val="none"/>
          <w:lang w:val="en-US" w:eastAsia="zh-CN" w:bidi="ar-SA"/>
        </w:rPr>
        <w:t>本项目采购标的所属行业：</w:t>
      </w:r>
    </w:p>
    <w:tbl>
      <w:tblPr>
        <w:tblStyle w:val="2"/>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1797"/>
        <w:gridCol w:w="2517"/>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392"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农、林、牧、渔业</w:t>
            </w:r>
          </w:p>
        </w:tc>
        <w:tc>
          <w:tcPr>
            <w:tcW w:w="1797"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工业</w:t>
            </w:r>
          </w:p>
        </w:tc>
        <w:tc>
          <w:tcPr>
            <w:tcW w:w="2517"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建筑业</w:t>
            </w:r>
          </w:p>
        </w:tc>
        <w:tc>
          <w:tcPr>
            <w:tcW w:w="3255"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批发业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392"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零售业</w:t>
            </w:r>
          </w:p>
        </w:tc>
        <w:tc>
          <w:tcPr>
            <w:tcW w:w="1797"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交通运输业</w:t>
            </w:r>
          </w:p>
        </w:tc>
        <w:tc>
          <w:tcPr>
            <w:tcW w:w="2517"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仓储业</w:t>
            </w:r>
          </w:p>
        </w:tc>
        <w:tc>
          <w:tcPr>
            <w:tcW w:w="3255"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392"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住宿业</w:t>
            </w:r>
          </w:p>
        </w:tc>
        <w:tc>
          <w:tcPr>
            <w:tcW w:w="1797"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餐饮业</w:t>
            </w:r>
          </w:p>
        </w:tc>
        <w:tc>
          <w:tcPr>
            <w:tcW w:w="2517" w:type="dxa"/>
            <w:noWrap w:val="0"/>
            <w:vAlign w:val="center"/>
          </w:tcPr>
          <w:p>
            <w:pPr>
              <w:tabs>
                <w:tab w:val="left" w:pos="2730"/>
                <w:tab w:val="left" w:pos="2835"/>
              </w:tabs>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信息传输业</w:t>
            </w:r>
          </w:p>
        </w:tc>
        <w:tc>
          <w:tcPr>
            <w:tcW w:w="3255" w:type="dxa"/>
            <w:noWrap w:val="0"/>
            <w:vAlign w:val="center"/>
          </w:tcPr>
          <w:p>
            <w:pPr>
              <w:tabs>
                <w:tab w:val="left" w:pos="2730"/>
                <w:tab w:val="left" w:pos="2835"/>
              </w:tabs>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shd w:val="clear" w:color="auto" w:fill="FFFFFF"/>
                <w:lang w:val="en-US"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392" w:type="dxa"/>
            <w:noWrap w:val="0"/>
            <w:vAlign w:val="center"/>
          </w:tcPr>
          <w:p>
            <w:pPr>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房地产开发经营</w:t>
            </w:r>
          </w:p>
        </w:tc>
        <w:tc>
          <w:tcPr>
            <w:tcW w:w="1797" w:type="dxa"/>
            <w:noWrap w:val="0"/>
            <w:vAlign w:val="center"/>
          </w:tcPr>
          <w:p>
            <w:pPr>
              <w:tabs>
                <w:tab w:val="left" w:pos="2730"/>
                <w:tab w:val="left" w:pos="2835"/>
              </w:tabs>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物业管理</w:t>
            </w:r>
          </w:p>
        </w:tc>
        <w:tc>
          <w:tcPr>
            <w:tcW w:w="2517" w:type="dxa"/>
            <w:noWrap w:val="0"/>
            <w:vAlign w:val="center"/>
          </w:tcPr>
          <w:p>
            <w:pPr>
              <w:tabs>
                <w:tab w:val="left" w:pos="2730"/>
                <w:tab w:val="left" w:pos="2835"/>
              </w:tabs>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bidi="ar-SA"/>
              </w:rPr>
              <w:t>□</w:t>
            </w:r>
            <w:r>
              <w:rPr>
                <w:rFonts w:hint="eastAsia" w:ascii="仿宋" w:hAnsi="仿宋" w:eastAsia="仿宋" w:cs="仿宋"/>
                <w:color w:val="auto"/>
                <w:sz w:val="24"/>
                <w:szCs w:val="24"/>
                <w:highlight w:val="none"/>
                <w:shd w:val="clear" w:color="auto" w:fill="FFFFFF"/>
                <w:lang w:val="en-US" w:bidi="ar-SA"/>
              </w:rPr>
              <w:t>租赁和商务服务业</w:t>
            </w:r>
          </w:p>
        </w:tc>
        <w:tc>
          <w:tcPr>
            <w:tcW w:w="3255" w:type="dxa"/>
            <w:noWrap w:val="0"/>
            <w:vAlign w:val="center"/>
          </w:tcPr>
          <w:p>
            <w:pPr>
              <w:tabs>
                <w:tab w:val="left" w:pos="2730"/>
                <w:tab w:val="left" w:pos="2835"/>
              </w:tabs>
              <w:autoSpaceDE/>
              <w:autoSpaceDN/>
              <w:adjustRightInd w:val="0"/>
              <w:snapToGrid w:val="0"/>
              <w:spacing w:before="0" w:after="0" w:line="240" w:lineRule="auto"/>
              <w:ind w:left="0" w:right="0"/>
              <w:jc w:val="left"/>
              <w:rPr>
                <w:rFonts w:ascii="仿宋" w:hAnsi="仿宋" w:eastAsia="仿宋" w:cs="仿宋"/>
                <w:color w:val="auto"/>
                <w:sz w:val="24"/>
                <w:szCs w:val="24"/>
                <w:highlight w:val="none"/>
                <w:lang w:val="en-US" w:bidi="ar-SA"/>
              </w:rPr>
            </w:pPr>
            <w:r>
              <w:rPr>
                <w:rFonts w:hint="eastAsia" w:ascii="仿宋" w:hAnsi="仿宋" w:eastAsia="仿宋" w:cs="仿宋"/>
                <w:color w:val="auto"/>
                <w:sz w:val="24"/>
                <w:szCs w:val="24"/>
                <w:highlight w:val="none"/>
                <w:lang w:val="en-US" w:eastAsia="zh-CN" w:bidi="ar-SA"/>
              </w:rPr>
              <w:t>☑</w:t>
            </w:r>
            <w:r>
              <w:rPr>
                <w:rFonts w:hint="eastAsia" w:ascii="仿宋" w:hAnsi="仿宋" w:eastAsia="仿宋" w:cs="仿宋"/>
                <w:color w:val="auto"/>
                <w:sz w:val="24"/>
                <w:szCs w:val="24"/>
                <w:highlight w:val="none"/>
                <w:shd w:val="clear" w:color="auto" w:fill="FFFFFF"/>
                <w:lang w:val="en-US" w:bidi="ar-SA"/>
              </w:rPr>
              <w:t>其他未列明行业</w:t>
            </w:r>
          </w:p>
        </w:tc>
      </w:tr>
    </w:tbl>
    <w:p>
      <w:pPr>
        <w:spacing w:line="560" w:lineRule="exact"/>
        <w:jc w:val="left"/>
        <w:rPr>
          <w:rFonts w:hint="default"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w:t>
      </w:r>
      <w:r>
        <w:rPr>
          <w:rFonts w:hint="eastAsia" w:ascii="仿宋" w:hAnsi="仿宋" w:eastAsia="仿宋" w:cs="仿宋"/>
          <w:b/>
          <w:bCs w:val="0"/>
          <w:color w:val="auto"/>
          <w:sz w:val="28"/>
          <w:szCs w:val="28"/>
          <w:highlight w:val="none"/>
          <w:lang w:eastAsia="zh-CN"/>
        </w:rPr>
        <w:t>、</w:t>
      </w:r>
      <w:r>
        <w:rPr>
          <w:rFonts w:hint="eastAsia" w:ascii="仿宋" w:hAnsi="仿宋" w:eastAsia="仿宋" w:cs="仿宋"/>
          <w:b/>
          <w:bCs w:val="0"/>
          <w:color w:val="auto"/>
          <w:sz w:val="28"/>
          <w:szCs w:val="28"/>
          <w:highlight w:val="none"/>
          <w:lang w:val="en-US" w:eastAsia="zh-CN"/>
        </w:rPr>
        <w:t>服务内容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1.化粪池和污水处理站污泥和浮渣清掏、转运及无害化处置；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2.化学性废物、废活性炭、试剂空瓶包装物、在线监测废液、废胶片、过期化学品等危险废物转运及无害化处置。</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服务需求表：</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rPr>
          <w:rFonts w:hint="eastAsia" w:ascii="仿宋" w:hAnsi="仿宋" w:eastAsia="仿宋" w:cs="仿宋"/>
          <w:color w:val="auto"/>
          <w:sz w:val="28"/>
          <w:szCs w:val="28"/>
          <w:highlight w:val="none"/>
          <w:lang w:val="en-US" w:eastAsia="zh-CN" w:bidi="ar-SA"/>
        </w:rPr>
      </w:pPr>
      <w:r>
        <w:rPr>
          <w:rFonts w:hint="eastAsia" w:ascii="仿宋" w:hAnsi="仿宋" w:eastAsia="仿宋" w:cs="仿宋"/>
          <w:color w:val="auto"/>
          <w:sz w:val="28"/>
          <w:szCs w:val="28"/>
          <w:highlight w:val="none"/>
          <w:lang w:val="en-US" w:eastAsia="zh-CN" w:bidi="ar-SA"/>
        </w:rPr>
        <w:t>四川省肿瘤医院</w:t>
      </w:r>
      <w:r>
        <w:rPr>
          <w:rFonts w:hint="eastAsia" w:ascii="仿宋" w:hAnsi="仿宋" w:eastAsia="仿宋" w:cs="仿宋"/>
          <w:color w:val="auto"/>
          <w:sz w:val="28"/>
          <w:szCs w:val="28"/>
          <w:highlight w:val="none"/>
          <w:lang w:val="en-US" w:eastAsia="zh-CN" w:bidi="ar-SA"/>
        </w:rPr>
        <w:tab/>
      </w:r>
      <w:r>
        <w:rPr>
          <w:rFonts w:hint="eastAsia" w:ascii="仿宋" w:hAnsi="仿宋" w:eastAsia="仿宋" w:cs="仿宋"/>
          <w:color w:val="auto"/>
          <w:sz w:val="28"/>
          <w:szCs w:val="28"/>
          <w:highlight w:val="none"/>
          <w:lang w:val="en-US" w:eastAsia="zh-CN" w:bidi="ar-SA"/>
        </w:rPr>
        <w:t>危险废物处置需求表</w:t>
      </w:r>
    </w:p>
    <w:tbl>
      <w:tblPr>
        <w:tblStyle w:val="2"/>
        <w:tblW w:w="4447" w:type="pct"/>
        <w:jc w:val="center"/>
        <w:tblLayout w:type="autofit"/>
        <w:tblCellMar>
          <w:top w:w="0" w:type="dxa"/>
          <w:left w:w="108" w:type="dxa"/>
          <w:bottom w:w="0" w:type="dxa"/>
          <w:right w:w="108" w:type="dxa"/>
        </w:tblCellMar>
      </w:tblPr>
      <w:tblGrid>
        <w:gridCol w:w="862"/>
        <w:gridCol w:w="1961"/>
        <w:gridCol w:w="3784"/>
        <w:gridCol w:w="2253"/>
      </w:tblGrid>
      <w:tr>
        <w:tblPrEx>
          <w:tblCellMar>
            <w:top w:w="0" w:type="dxa"/>
            <w:left w:w="108" w:type="dxa"/>
            <w:bottom w:w="0" w:type="dxa"/>
            <w:right w:w="108" w:type="dxa"/>
          </w:tblCellMar>
        </w:tblPrEx>
        <w:trPr>
          <w:trHeight w:val="59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序号</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
              </w:rPr>
              <w:t>危废代码</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
              </w:rPr>
              <w:t>危废名称</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bidi="ar"/>
              </w:rPr>
            </w:pPr>
            <w:r>
              <w:rPr>
                <w:rFonts w:hint="eastAsia" w:ascii="仿宋" w:hAnsi="仿宋" w:eastAsia="仿宋" w:cs="仿宋"/>
                <w:i w:val="0"/>
                <w:iCs w:val="0"/>
                <w:color w:val="auto"/>
                <w:kern w:val="0"/>
                <w:sz w:val="24"/>
                <w:szCs w:val="24"/>
                <w:highlight w:val="none"/>
                <w:u w:val="none"/>
                <w:lang w:val="en-US" w:eastAsia="zh-CN" w:bidi="ar"/>
              </w:rPr>
              <w:t>单价最高限价（元/公斤）</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
              </w:rPr>
              <w:t>1</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HW01或841-001-01</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化粪池、污水处理站的浮渣、污泥</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24</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2</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HW01或841-004-01</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bidi="ar"/>
              </w:rPr>
            </w:pPr>
            <w:r>
              <w:rPr>
                <w:rFonts w:hint="eastAsia" w:ascii="仿宋" w:hAnsi="仿宋" w:eastAsia="仿宋" w:cs="仿宋"/>
                <w:i w:val="0"/>
                <w:iCs w:val="0"/>
                <w:color w:val="auto"/>
                <w:kern w:val="0"/>
                <w:sz w:val="24"/>
                <w:szCs w:val="24"/>
                <w:highlight w:val="none"/>
                <w:u w:val="none"/>
                <w:lang w:val="en-US" w:eastAsia="zh-CN" w:bidi="ar"/>
              </w:rPr>
              <w:t>化学性废物</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44</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3</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900-047-49</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实验室废液、在线监测废液</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43</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4</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900-019-16</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废胶片</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5</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900-041-49</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废活性炭</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8</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6</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试剂空瓶包装物</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460" w:hRule="atLeast"/>
          <w:jc w:val="center"/>
        </w:trPr>
        <w:tc>
          <w:tcPr>
            <w:tcW w:w="486"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7</w:t>
            </w:r>
          </w:p>
        </w:tc>
        <w:tc>
          <w:tcPr>
            <w:tcW w:w="11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900-999-49</w:t>
            </w:r>
          </w:p>
        </w:tc>
        <w:tc>
          <w:tcPr>
            <w:tcW w:w="2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过期化学品</w:t>
            </w:r>
          </w:p>
        </w:tc>
        <w:tc>
          <w:tcPr>
            <w:tcW w:w="12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62</w:t>
            </w:r>
          </w:p>
        </w:tc>
      </w:tr>
    </w:tbl>
    <w:p>
      <w:pPr>
        <w:keepNext w:val="0"/>
        <w:keepLines w:val="0"/>
        <w:pageBreakBefore w:val="0"/>
        <w:widowControl w:val="0"/>
        <w:kinsoku/>
        <w:wordWrap/>
        <w:overflowPunct/>
        <w:topLinePunct w:val="0"/>
        <w:autoSpaceDE/>
        <w:autoSpaceDN/>
        <w:bidi w:val="0"/>
        <w:adjustRightInd w:val="0"/>
        <w:snapToGrid w:val="0"/>
        <w:spacing w:before="0" w:after="0" w:line="500" w:lineRule="exact"/>
        <w:ind w:left="0" w:right="0"/>
        <w:jc w:val="both"/>
        <w:textAlignment w:val="auto"/>
        <w:outlineLvl w:val="1"/>
        <w:rPr>
          <w:rFonts w:hint="default" w:ascii="仿宋" w:hAnsi="仿宋" w:eastAsia="仿宋" w:cs="仿宋"/>
          <w:b/>
          <w:bCs/>
          <w:color w:val="auto"/>
          <w:sz w:val="28"/>
          <w:szCs w:val="28"/>
          <w:highlight w:val="none"/>
          <w:lang w:val="en-US" w:eastAsia="zh-CN" w:bidi="ar-SA"/>
        </w:rPr>
      </w:pPr>
      <w:r>
        <w:rPr>
          <w:rFonts w:hint="eastAsia" w:ascii="仿宋" w:hAnsi="仿宋" w:eastAsia="仿宋" w:cs="仿宋"/>
          <w:b/>
          <w:bCs/>
          <w:color w:val="auto"/>
          <w:sz w:val="28"/>
          <w:szCs w:val="28"/>
          <w:highlight w:val="none"/>
          <w:lang w:val="en-US" w:bidi="ar-SA"/>
        </w:rPr>
        <w:t>★</w:t>
      </w:r>
      <w:r>
        <w:rPr>
          <w:rFonts w:hint="eastAsia" w:ascii="仿宋" w:hAnsi="仿宋" w:eastAsia="仿宋" w:cs="仿宋"/>
          <w:b/>
          <w:bCs/>
          <w:color w:val="auto"/>
          <w:sz w:val="28"/>
          <w:szCs w:val="28"/>
          <w:highlight w:val="none"/>
          <w:lang w:val="en-US" w:eastAsia="zh-CN" w:bidi="ar-SA"/>
        </w:rPr>
        <w:t>四</w:t>
      </w:r>
      <w:r>
        <w:rPr>
          <w:rFonts w:hint="eastAsia" w:ascii="仿宋" w:hAnsi="仿宋" w:eastAsia="仿宋" w:cs="仿宋"/>
          <w:b/>
          <w:bCs/>
          <w:color w:val="auto"/>
          <w:sz w:val="28"/>
          <w:szCs w:val="28"/>
          <w:highlight w:val="none"/>
          <w:lang w:val="en-US" w:bidi="ar-SA"/>
        </w:rPr>
        <w:t>、</w:t>
      </w:r>
      <w:r>
        <w:rPr>
          <w:rFonts w:hint="eastAsia" w:ascii="仿宋" w:hAnsi="仿宋" w:eastAsia="仿宋" w:cs="仿宋"/>
          <w:b/>
          <w:bCs/>
          <w:color w:val="auto"/>
          <w:sz w:val="28"/>
          <w:szCs w:val="28"/>
          <w:highlight w:val="none"/>
          <w:lang w:val="en-US" w:eastAsia="zh-CN" w:bidi="ar-SA"/>
        </w:rPr>
        <w:t>服务要求</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1.投标人对</w:t>
      </w:r>
      <w:r>
        <w:rPr>
          <w:rFonts w:hint="eastAsia" w:ascii="仿宋" w:hAnsi="仿宋" w:eastAsia="仿宋" w:cs="仿宋"/>
          <w:b w:val="0"/>
          <w:bCs w:val="0"/>
          <w:color w:val="auto"/>
          <w:sz w:val="28"/>
          <w:szCs w:val="28"/>
          <w:highlight w:val="none"/>
          <w:lang w:val="en-US" w:eastAsia="zh-CN" w:bidi="ar-SA"/>
        </w:rPr>
        <w:t>采购人</w:t>
      </w:r>
      <w:r>
        <w:rPr>
          <w:rFonts w:hint="eastAsia" w:ascii="仿宋" w:hAnsi="仿宋" w:eastAsia="仿宋" w:cs="仿宋"/>
          <w:b w:val="0"/>
          <w:bCs w:val="0"/>
          <w:color w:val="auto"/>
          <w:sz w:val="28"/>
          <w:szCs w:val="28"/>
          <w:highlight w:val="none"/>
          <w:lang w:val="en-US" w:bidi="ar-SA"/>
        </w:rPr>
        <w:t>污水处理站的污泥、浮渣、化学性废物、在线监测废液、废活性炭、过期化学品等危险废物进行称重、转运、处置，完成无废四川系统上的转运申报和数据上传，填写转移联单，资料保存3年。</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2.投标人能依照国家法律法规的要求完成危险废物转移、处置等相关手续申报。</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3.转运时必须沿医院指定的路线进行转运，转运完成后由投标人负责现场清洁卫生。</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4.每次清掏及转运处置施工，医院不定期通知，投标人必须2小时内响应，2周内完成</w:t>
      </w:r>
      <w:r>
        <w:rPr>
          <w:rFonts w:hint="eastAsia" w:ascii="仿宋" w:hAnsi="仿宋" w:eastAsia="仿宋" w:cs="仿宋"/>
          <w:b w:val="0"/>
          <w:bCs w:val="0"/>
          <w:color w:val="auto"/>
          <w:sz w:val="28"/>
          <w:szCs w:val="28"/>
          <w:highlight w:val="none"/>
          <w:lang w:val="en-US" w:eastAsia="zh-CN" w:bidi="ar-SA"/>
        </w:rPr>
        <w:t>指定</w:t>
      </w:r>
      <w:r>
        <w:rPr>
          <w:rFonts w:hint="eastAsia" w:ascii="仿宋" w:hAnsi="仿宋" w:eastAsia="仿宋" w:cs="仿宋"/>
          <w:b w:val="0"/>
          <w:bCs w:val="0"/>
          <w:color w:val="auto"/>
          <w:sz w:val="28"/>
          <w:szCs w:val="28"/>
          <w:highlight w:val="none"/>
          <w:lang w:val="en-US" w:bidi="ar-SA"/>
        </w:rPr>
        <w:t>内容。</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5.能保证危险废物密封转运，危险废物若洒落地面必须及时清洁并按规范进行处理。因泄露的危险废物造成环境污染和人员伤亡以及转运车辆发生交通事故等，均由投标人承担全部责任。</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6.转运出医院的危险废物由处置公司能按照符合国家环保要求的方式进行处置。</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7.法定节假日能保证服务正常进行。</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bCs/>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8.能配合</w:t>
      </w:r>
      <w:r>
        <w:rPr>
          <w:rFonts w:hint="eastAsia" w:ascii="仿宋" w:hAnsi="仿宋" w:eastAsia="仿宋" w:cs="仿宋"/>
          <w:b w:val="0"/>
          <w:bCs w:val="0"/>
          <w:color w:val="auto"/>
          <w:sz w:val="28"/>
          <w:szCs w:val="28"/>
          <w:highlight w:val="none"/>
          <w:lang w:val="en-US" w:eastAsia="zh-CN" w:bidi="ar-SA"/>
        </w:rPr>
        <w:t>采购人</w:t>
      </w:r>
      <w:r>
        <w:rPr>
          <w:rFonts w:hint="eastAsia" w:ascii="仿宋" w:hAnsi="仿宋" w:eastAsia="仿宋" w:cs="仿宋"/>
          <w:b w:val="0"/>
          <w:bCs w:val="0"/>
          <w:color w:val="auto"/>
          <w:sz w:val="28"/>
          <w:szCs w:val="28"/>
          <w:highlight w:val="none"/>
          <w:lang w:val="en-US" w:bidi="ar-SA"/>
        </w:rPr>
        <w:t>按上述服务内容进行考核并罚款，施工转运一次考核一次，违反考核标准的罚款将在付款时予以扣除</w:t>
      </w:r>
      <w:r>
        <w:rPr>
          <w:rFonts w:hint="eastAsia" w:ascii="仿宋" w:hAnsi="仿宋" w:eastAsia="仿宋" w:cs="仿宋"/>
          <w:b w:val="0"/>
          <w:bCs w:val="0"/>
          <w:color w:val="auto"/>
          <w:sz w:val="28"/>
          <w:szCs w:val="28"/>
          <w:highlight w:val="none"/>
          <w:lang w:val="en-US" w:eastAsia="zh-CN" w:bidi="ar-SA"/>
        </w:rPr>
        <w:t>，考核标准详见附件</w:t>
      </w:r>
      <w:r>
        <w:rPr>
          <w:rFonts w:hint="eastAsia" w:ascii="仿宋" w:hAnsi="仿宋" w:eastAsia="仿宋" w:cs="仿宋"/>
          <w:b w:val="0"/>
          <w:bCs w:val="0"/>
          <w:color w:val="auto"/>
          <w:sz w:val="28"/>
          <w:szCs w:val="28"/>
          <w:highlight w:val="none"/>
          <w:lang w:val="en-US" w:bidi="ar-SA"/>
        </w:rPr>
        <w:t>。</w:t>
      </w:r>
      <w:r>
        <w:rPr>
          <w:rFonts w:hint="eastAsia" w:ascii="仿宋" w:hAnsi="仿宋" w:eastAsia="仿宋" w:cs="仿宋"/>
          <w:b/>
          <w:bCs/>
          <w:color w:val="auto"/>
          <w:sz w:val="28"/>
          <w:szCs w:val="28"/>
          <w:highlight w:val="none"/>
          <w:lang w:val="en-US" w:bidi="ar-SA"/>
        </w:rPr>
        <w:t>（提供承诺函，格式自拟）</w:t>
      </w:r>
    </w:p>
    <w:p>
      <w:pPr>
        <w:keepNext w:val="0"/>
        <w:keepLines w:val="0"/>
        <w:pageBreakBefore w:val="0"/>
        <w:widowControl w:val="0"/>
        <w:kinsoku/>
        <w:wordWrap/>
        <w:overflowPunct/>
        <w:topLinePunct w:val="0"/>
        <w:autoSpaceDE/>
        <w:autoSpaceDN/>
        <w:bidi w:val="0"/>
        <w:adjustRightInd w:val="0"/>
        <w:snapToGrid w:val="0"/>
        <w:spacing w:before="0" w:after="0" w:line="500" w:lineRule="exact"/>
        <w:ind w:left="0" w:right="0"/>
        <w:jc w:val="both"/>
        <w:textAlignment w:val="auto"/>
        <w:outlineLvl w:val="1"/>
        <w:rPr>
          <w:rFonts w:hint="eastAsia" w:ascii="仿宋" w:hAnsi="仿宋" w:eastAsia="仿宋" w:cs="仿宋"/>
          <w:b/>
          <w:bCs/>
          <w:color w:val="auto"/>
          <w:sz w:val="28"/>
          <w:szCs w:val="28"/>
          <w:highlight w:val="none"/>
          <w:lang w:val="en-US" w:eastAsia="zh-CN" w:bidi="ar-SA"/>
        </w:rPr>
      </w:pPr>
      <w:r>
        <w:rPr>
          <w:rFonts w:hint="eastAsia" w:ascii="仿宋" w:hAnsi="仿宋" w:eastAsia="仿宋" w:cs="仿宋"/>
          <w:b/>
          <w:bCs/>
          <w:color w:val="auto"/>
          <w:sz w:val="28"/>
          <w:szCs w:val="28"/>
          <w:highlight w:val="none"/>
          <w:lang w:val="en-US" w:eastAsia="zh-CN" w:bidi="ar-SA"/>
        </w:rPr>
        <w:t>五、履约能力</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1.</w:t>
      </w:r>
      <w:r>
        <w:rPr>
          <w:rFonts w:hint="eastAsia" w:ascii="仿宋" w:hAnsi="仿宋" w:eastAsia="仿宋" w:cs="仿宋"/>
          <w:b w:val="0"/>
          <w:bCs w:val="0"/>
          <w:color w:val="auto"/>
          <w:sz w:val="28"/>
          <w:szCs w:val="28"/>
          <w:highlight w:val="none"/>
          <w:lang w:val="en-US" w:eastAsia="zh-CN" w:bidi="ar-SA"/>
        </w:rPr>
        <w:t>投标人</w:t>
      </w:r>
      <w:r>
        <w:rPr>
          <w:rFonts w:hint="eastAsia" w:ascii="仿宋" w:hAnsi="仿宋" w:eastAsia="仿宋" w:cs="仿宋"/>
          <w:b w:val="0"/>
          <w:bCs w:val="0"/>
          <w:color w:val="auto"/>
          <w:sz w:val="28"/>
          <w:szCs w:val="28"/>
          <w:highlight w:val="none"/>
          <w:lang w:val="en-US" w:bidi="ar-SA"/>
        </w:rPr>
        <w:t>应针对本项目编制</w:t>
      </w:r>
      <w:r>
        <w:rPr>
          <w:rFonts w:hint="eastAsia" w:ascii="仿宋" w:hAnsi="仿宋" w:eastAsia="仿宋" w:cs="仿宋"/>
          <w:b w:val="0"/>
          <w:bCs w:val="0"/>
          <w:color w:val="auto"/>
          <w:sz w:val="28"/>
          <w:szCs w:val="28"/>
          <w:highlight w:val="none"/>
          <w:lang w:val="en-US" w:eastAsia="zh-CN" w:bidi="ar-SA"/>
        </w:rPr>
        <w:t>污泥、浮渣清掏施工方案</w:t>
      </w:r>
      <w:r>
        <w:rPr>
          <w:rFonts w:hint="eastAsia" w:ascii="仿宋" w:hAnsi="仿宋" w:eastAsia="仿宋" w:cs="仿宋"/>
          <w:b w:val="0"/>
          <w:bCs w:val="0"/>
          <w:color w:val="auto"/>
          <w:sz w:val="28"/>
          <w:szCs w:val="28"/>
          <w:highlight w:val="none"/>
          <w:lang w:val="en-US" w:bidi="ar-SA"/>
        </w:rPr>
        <w:t>。</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2.</w:t>
      </w:r>
      <w:r>
        <w:rPr>
          <w:rFonts w:hint="eastAsia" w:ascii="仿宋" w:hAnsi="仿宋" w:eastAsia="仿宋" w:cs="仿宋"/>
          <w:b w:val="0"/>
          <w:bCs w:val="0"/>
          <w:color w:val="auto"/>
          <w:sz w:val="28"/>
          <w:szCs w:val="28"/>
          <w:highlight w:val="none"/>
          <w:lang w:val="en-US" w:eastAsia="zh-CN" w:bidi="ar-SA"/>
        </w:rPr>
        <w:t>投标人</w:t>
      </w:r>
      <w:r>
        <w:rPr>
          <w:rFonts w:hint="eastAsia" w:ascii="仿宋" w:hAnsi="仿宋" w:eastAsia="仿宋" w:cs="仿宋"/>
          <w:b w:val="0"/>
          <w:bCs w:val="0"/>
          <w:color w:val="auto"/>
          <w:sz w:val="28"/>
          <w:szCs w:val="28"/>
          <w:highlight w:val="none"/>
          <w:lang w:val="en-US" w:bidi="ar-SA"/>
        </w:rPr>
        <w:t>应针对本项目编制危险废物处置方案。</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bidi="ar-SA"/>
        </w:rPr>
        <w:t>3.</w:t>
      </w:r>
      <w:r>
        <w:rPr>
          <w:rFonts w:hint="eastAsia" w:ascii="仿宋" w:hAnsi="仿宋" w:eastAsia="仿宋" w:cs="仿宋"/>
          <w:b w:val="0"/>
          <w:bCs w:val="0"/>
          <w:color w:val="auto"/>
          <w:sz w:val="28"/>
          <w:szCs w:val="28"/>
          <w:highlight w:val="none"/>
          <w:lang w:val="en-US" w:eastAsia="zh-CN" w:bidi="ar-SA"/>
        </w:rPr>
        <w:t>投标人</w:t>
      </w:r>
      <w:r>
        <w:rPr>
          <w:rFonts w:hint="eastAsia" w:ascii="仿宋" w:hAnsi="仿宋" w:eastAsia="仿宋" w:cs="仿宋"/>
          <w:b w:val="0"/>
          <w:bCs w:val="0"/>
          <w:color w:val="auto"/>
          <w:sz w:val="28"/>
          <w:szCs w:val="28"/>
          <w:highlight w:val="none"/>
          <w:lang w:val="en-US" w:bidi="ar-SA"/>
        </w:rPr>
        <w:t>应针对本项目编制</w:t>
      </w:r>
      <w:r>
        <w:rPr>
          <w:rFonts w:hint="eastAsia" w:ascii="仿宋" w:hAnsi="仿宋" w:eastAsia="仿宋" w:cs="仿宋"/>
          <w:b w:val="0"/>
          <w:bCs w:val="0"/>
          <w:color w:val="auto"/>
          <w:sz w:val="28"/>
          <w:szCs w:val="28"/>
          <w:highlight w:val="none"/>
          <w:lang w:val="en-US" w:eastAsia="zh-CN" w:bidi="ar-SA"/>
        </w:rPr>
        <w:t>危险废物</w:t>
      </w:r>
      <w:r>
        <w:rPr>
          <w:rFonts w:hint="eastAsia" w:ascii="仿宋" w:hAnsi="仿宋" w:eastAsia="仿宋" w:cs="仿宋"/>
          <w:b w:val="0"/>
          <w:bCs w:val="0"/>
          <w:color w:val="auto"/>
          <w:sz w:val="28"/>
          <w:szCs w:val="28"/>
          <w:highlight w:val="none"/>
          <w:lang w:val="en-US" w:bidi="ar-SA"/>
        </w:rPr>
        <w:t>转运方案</w:t>
      </w:r>
      <w:r>
        <w:rPr>
          <w:rFonts w:hint="eastAsia" w:ascii="仿宋" w:hAnsi="仿宋" w:eastAsia="仿宋" w:cs="仿宋"/>
          <w:b w:val="0"/>
          <w:bCs w:val="0"/>
          <w:color w:val="auto"/>
          <w:sz w:val="28"/>
          <w:szCs w:val="28"/>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bidi="ar-SA"/>
        </w:rPr>
        <w:t>4.</w:t>
      </w:r>
      <w:r>
        <w:rPr>
          <w:rFonts w:hint="eastAsia" w:ascii="仿宋" w:hAnsi="仿宋" w:eastAsia="仿宋" w:cs="仿宋"/>
          <w:b w:val="0"/>
          <w:bCs w:val="0"/>
          <w:color w:val="auto"/>
          <w:sz w:val="28"/>
          <w:szCs w:val="28"/>
          <w:highlight w:val="none"/>
          <w:lang w:val="en-US" w:eastAsia="zh-CN" w:bidi="ar-SA"/>
        </w:rPr>
        <w:t>投标人</w:t>
      </w:r>
      <w:r>
        <w:rPr>
          <w:rFonts w:hint="eastAsia" w:ascii="仿宋" w:hAnsi="仿宋" w:eastAsia="仿宋" w:cs="仿宋"/>
          <w:b w:val="0"/>
          <w:bCs w:val="0"/>
          <w:color w:val="auto"/>
          <w:sz w:val="28"/>
          <w:szCs w:val="28"/>
          <w:highlight w:val="none"/>
          <w:lang w:val="en-US" w:bidi="ar-SA"/>
        </w:rPr>
        <w:t>应针对本项目</w:t>
      </w:r>
      <w:r>
        <w:rPr>
          <w:rFonts w:hint="eastAsia" w:ascii="仿宋" w:hAnsi="仿宋" w:eastAsia="仿宋" w:cs="仿宋"/>
          <w:b w:val="0"/>
          <w:bCs w:val="0"/>
          <w:color w:val="auto"/>
          <w:sz w:val="28"/>
          <w:szCs w:val="28"/>
          <w:highlight w:val="none"/>
          <w:lang w:val="en-US" w:eastAsia="zh-CN" w:bidi="ar-SA"/>
        </w:rPr>
        <w:t>编制安全保障应急预案。</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eastAsia="zh-CN" w:bidi="ar-SA"/>
        </w:rPr>
        <w:t>5.投标人</w:t>
      </w:r>
      <w:r>
        <w:rPr>
          <w:rFonts w:hint="eastAsia" w:ascii="仿宋" w:hAnsi="仿宋" w:eastAsia="仿宋" w:cs="仿宋"/>
          <w:b w:val="0"/>
          <w:bCs w:val="0"/>
          <w:color w:val="auto"/>
          <w:sz w:val="28"/>
          <w:szCs w:val="28"/>
          <w:highlight w:val="none"/>
          <w:lang w:val="en-US" w:bidi="ar-SA"/>
        </w:rPr>
        <w:t>20</w:t>
      </w:r>
      <w:r>
        <w:rPr>
          <w:rFonts w:hint="eastAsia" w:ascii="仿宋" w:hAnsi="仿宋" w:eastAsia="仿宋" w:cs="仿宋"/>
          <w:b w:val="0"/>
          <w:bCs w:val="0"/>
          <w:color w:val="auto"/>
          <w:sz w:val="28"/>
          <w:szCs w:val="28"/>
          <w:highlight w:val="none"/>
          <w:lang w:val="en-US" w:eastAsia="zh-CN" w:bidi="ar-SA"/>
        </w:rPr>
        <w:t>21</w:t>
      </w:r>
      <w:r>
        <w:rPr>
          <w:rFonts w:hint="eastAsia" w:ascii="仿宋" w:hAnsi="仿宋" w:eastAsia="仿宋" w:cs="仿宋"/>
          <w:b w:val="0"/>
          <w:bCs w:val="0"/>
          <w:color w:val="auto"/>
          <w:sz w:val="28"/>
          <w:szCs w:val="28"/>
          <w:highlight w:val="none"/>
          <w:lang w:val="en-US" w:bidi="ar-SA"/>
        </w:rPr>
        <w:t>年</w:t>
      </w:r>
      <w:r>
        <w:rPr>
          <w:rFonts w:hint="eastAsia" w:ascii="仿宋" w:hAnsi="仿宋" w:eastAsia="仿宋" w:cs="仿宋"/>
          <w:b w:val="0"/>
          <w:bCs w:val="0"/>
          <w:color w:val="auto"/>
          <w:sz w:val="28"/>
          <w:szCs w:val="28"/>
          <w:highlight w:val="none"/>
          <w:lang w:val="en-US" w:eastAsia="zh-CN" w:bidi="ar-SA"/>
        </w:rPr>
        <w:t>1月1日</w:t>
      </w:r>
      <w:r>
        <w:rPr>
          <w:rFonts w:hint="eastAsia" w:ascii="仿宋" w:hAnsi="仿宋" w:eastAsia="仿宋" w:cs="仿宋"/>
          <w:b w:val="0"/>
          <w:bCs w:val="0"/>
          <w:color w:val="auto"/>
          <w:sz w:val="28"/>
          <w:szCs w:val="28"/>
          <w:highlight w:val="none"/>
          <w:lang w:val="en-US" w:bidi="ar-SA"/>
        </w:rPr>
        <w:t>以来具有本项目</w:t>
      </w:r>
      <w:r>
        <w:rPr>
          <w:rFonts w:hint="eastAsia" w:ascii="仿宋" w:hAnsi="仿宋" w:eastAsia="仿宋" w:cs="仿宋"/>
          <w:b w:val="0"/>
          <w:bCs w:val="0"/>
          <w:color w:val="auto"/>
          <w:sz w:val="28"/>
          <w:szCs w:val="28"/>
          <w:highlight w:val="none"/>
          <w:lang w:val="en-US" w:eastAsia="zh-CN" w:bidi="ar-SA"/>
        </w:rPr>
        <w:t>同类</w:t>
      </w:r>
      <w:r>
        <w:rPr>
          <w:rFonts w:hint="eastAsia" w:ascii="仿宋" w:hAnsi="仿宋" w:eastAsia="仿宋" w:cs="仿宋"/>
          <w:b w:val="0"/>
          <w:bCs w:val="0"/>
          <w:color w:val="auto"/>
          <w:sz w:val="28"/>
          <w:szCs w:val="28"/>
          <w:highlight w:val="none"/>
          <w:lang w:val="en-US" w:bidi="ar-SA"/>
        </w:rPr>
        <w:t>业绩。</w:t>
      </w:r>
    </w:p>
    <w:p>
      <w:pPr>
        <w:keepNext w:val="0"/>
        <w:keepLines w:val="0"/>
        <w:pageBreakBefore w:val="0"/>
        <w:widowControl w:val="0"/>
        <w:kinsoku/>
        <w:wordWrap/>
        <w:overflowPunct/>
        <w:topLinePunct w:val="0"/>
        <w:autoSpaceDE/>
        <w:autoSpaceDN/>
        <w:bidi w:val="0"/>
        <w:adjustRightInd w:val="0"/>
        <w:snapToGrid w:val="0"/>
        <w:spacing w:before="0" w:after="0" w:line="500" w:lineRule="exact"/>
        <w:ind w:left="0" w:right="0"/>
        <w:jc w:val="both"/>
        <w:textAlignment w:val="auto"/>
        <w:outlineLvl w:val="1"/>
        <w:rPr>
          <w:rFonts w:hint="eastAsia" w:ascii="仿宋" w:hAnsi="仿宋" w:eastAsia="仿宋" w:cs="仿宋"/>
          <w:b/>
          <w:bCs/>
          <w:color w:val="auto"/>
          <w:sz w:val="28"/>
          <w:szCs w:val="28"/>
          <w:highlight w:val="none"/>
          <w:lang w:val="en-US" w:eastAsia="zh-CN" w:bidi="ar-SA"/>
        </w:rPr>
      </w:pPr>
      <w:r>
        <w:rPr>
          <w:rFonts w:hint="eastAsia" w:ascii="仿宋" w:hAnsi="仿宋" w:eastAsia="仿宋" w:cs="仿宋"/>
          <w:b/>
          <w:bCs/>
          <w:color w:val="auto"/>
          <w:sz w:val="28"/>
          <w:szCs w:val="28"/>
          <w:highlight w:val="none"/>
          <w:lang w:val="en-US" w:eastAsia="zh-CN" w:bidi="ar-SA"/>
        </w:rPr>
        <w:t>★六、商务要求</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default"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bidi="ar-SA"/>
        </w:rPr>
        <w:t>1、</w:t>
      </w:r>
      <w:r>
        <w:rPr>
          <w:rFonts w:hint="eastAsia" w:ascii="仿宋" w:hAnsi="仿宋" w:eastAsia="仿宋" w:cs="仿宋"/>
          <w:b w:val="0"/>
          <w:bCs w:val="0"/>
          <w:color w:val="auto"/>
          <w:sz w:val="28"/>
          <w:szCs w:val="28"/>
          <w:highlight w:val="none"/>
          <w:lang w:val="en-US" w:eastAsia="zh-CN" w:bidi="ar-SA"/>
        </w:rPr>
        <w:t>服务时间</w:t>
      </w:r>
      <w:r>
        <w:rPr>
          <w:rFonts w:hint="eastAsia" w:ascii="仿宋" w:hAnsi="仿宋" w:eastAsia="仿宋" w:cs="仿宋"/>
          <w:b w:val="0"/>
          <w:bCs w:val="0"/>
          <w:color w:val="auto"/>
          <w:sz w:val="28"/>
          <w:szCs w:val="28"/>
          <w:highlight w:val="none"/>
          <w:lang w:val="en-US" w:bidi="ar-SA"/>
        </w:rPr>
        <w:t>：</w:t>
      </w:r>
      <w:r>
        <w:rPr>
          <w:rFonts w:hint="eastAsia" w:ascii="仿宋" w:hAnsi="仿宋" w:eastAsia="仿宋" w:cs="仿宋"/>
          <w:b w:val="0"/>
          <w:bCs w:val="0"/>
          <w:color w:val="auto"/>
          <w:sz w:val="28"/>
          <w:szCs w:val="28"/>
          <w:highlight w:val="none"/>
          <w:lang w:val="en-US" w:eastAsia="zh-CN" w:bidi="ar-SA"/>
        </w:rPr>
        <w:t>3年，合同一年一签。</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2、</w:t>
      </w:r>
      <w:r>
        <w:rPr>
          <w:rFonts w:hint="eastAsia" w:ascii="仿宋" w:hAnsi="仿宋" w:eastAsia="仿宋" w:cs="仿宋"/>
          <w:b w:val="0"/>
          <w:bCs w:val="0"/>
          <w:color w:val="auto"/>
          <w:sz w:val="28"/>
          <w:szCs w:val="28"/>
          <w:highlight w:val="none"/>
          <w:lang w:val="en-US" w:eastAsia="zh-CN" w:bidi="ar-SA"/>
        </w:rPr>
        <w:t>服务</w:t>
      </w:r>
      <w:r>
        <w:rPr>
          <w:rFonts w:hint="eastAsia" w:ascii="仿宋" w:hAnsi="仿宋" w:eastAsia="仿宋" w:cs="仿宋"/>
          <w:b w:val="0"/>
          <w:bCs w:val="0"/>
          <w:color w:val="auto"/>
          <w:sz w:val="28"/>
          <w:szCs w:val="28"/>
          <w:highlight w:val="none"/>
          <w:lang w:val="en-US" w:bidi="ar-SA"/>
        </w:rPr>
        <w:t>地点：四川省肿瘤医院</w:t>
      </w:r>
      <w:r>
        <w:rPr>
          <w:rFonts w:hint="eastAsia" w:ascii="仿宋" w:hAnsi="仿宋" w:eastAsia="仿宋" w:cs="仿宋"/>
          <w:b w:val="0"/>
          <w:bCs w:val="0"/>
          <w:color w:val="auto"/>
          <w:sz w:val="28"/>
          <w:szCs w:val="28"/>
          <w:highlight w:val="none"/>
          <w:lang w:val="en-US" w:eastAsia="zh-CN" w:bidi="ar-SA"/>
        </w:rPr>
        <w:t>指定地点</w:t>
      </w:r>
      <w:r>
        <w:rPr>
          <w:rFonts w:hint="eastAsia" w:ascii="仿宋" w:hAnsi="仿宋" w:eastAsia="仿宋" w:cs="仿宋"/>
          <w:b w:val="0"/>
          <w:bCs w:val="0"/>
          <w:color w:val="auto"/>
          <w:sz w:val="28"/>
          <w:szCs w:val="28"/>
          <w:highlight w:val="none"/>
          <w:lang w:val="en-US" w:bidi="ar-SA"/>
        </w:rPr>
        <w:t>。</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3、付款时间及结算方式：</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3.1交付方式：</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3.1.1.化粪池、污水站污泥和浮渣清掏一年内计划施工2次，签订合同后一个月内必须完成第一次清掏施工及转运处置，其余次数由医院通知投标人清掏施工及转运处置；</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3.1.2.化学性废物等其他危险废物医院根据需要通知投标人完成转运及处置。</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3.1.3.随项目完成必须配备的资料清单：危险废物转移联单。</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3.2付款方式：施工转运前，采购人派驻验收小组按照服务内容对称重、转运、交接等环节进行验收和监督，确定实际重量与危险废物转移联单记录保持一致，双方签字确认，并完成无废四川系统上的转运申报和数据上传。每次根据投标人的服务情况填写考核表，验收完成后危险废物转移联单、考核表等相关手续，作为付款依据。接收到投标人开具的税务发票后，一个月内完成付款。每次付款金额=危险废物实际重量×危险废物中标报价单价－考核罚款金额。</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3.3其他要求</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3.3.1.投标人报价包含危险废物的转运申报、清掏、包装、运输、装车、暂存、处置、税费、机械进出场、安全文明施工、保险、人员差旅等一切费用。投标人应根据本项目的实际与自身情况，并充分考虑不确定性因素可能导致的风险。若因投标人原因造成的漏报、错报而导致本项目无法履行的，由投标人负责，采购人不承担任何费用。</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3.3.2.发生重大突发公共卫生事件时，投标人须按上级主管部门相关文件要求对危险废物及时处置。</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eastAsia="zh-CN" w:bidi="ar-SA"/>
        </w:rPr>
      </w:pPr>
      <w:r>
        <w:rPr>
          <w:rFonts w:hint="eastAsia" w:ascii="仿宋" w:hAnsi="仿宋" w:eastAsia="仿宋" w:cs="仿宋"/>
          <w:b w:val="0"/>
          <w:bCs w:val="0"/>
          <w:color w:val="auto"/>
          <w:sz w:val="28"/>
          <w:szCs w:val="28"/>
          <w:highlight w:val="none"/>
          <w:lang w:val="en-US" w:eastAsia="zh-CN" w:bidi="ar-SA"/>
        </w:rPr>
        <w:t>3.3.3.供应商须为各类危险废物办理环保手续，组织人员将危险废物转运至具有法定资质的运输工具上，在危险废物转运至运输工具过程中，采取相应安全防护和污染防治措施，包括防爆、防火、防中毒、防感染、防泄漏等措施，确保本项目所涉及的收集、贮存、处置等具体实施过程中完全符合国家、行业的有关规定。</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eastAsia="zh-CN" w:bidi="ar-SA"/>
        </w:rPr>
        <w:t>4、</w:t>
      </w:r>
      <w:r>
        <w:rPr>
          <w:rFonts w:hint="eastAsia" w:ascii="仿宋" w:hAnsi="仿宋" w:eastAsia="仿宋" w:cs="仿宋"/>
          <w:b w:val="0"/>
          <w:bCs w:val="0"/>
          <w:color w:val="auto"/>
          <w:sz w:val="28"/>
          <w:szCs w:val="28"/>
          <w:highlight w:val="none"/>
          <w:lang w:val="en-US" w:bidi="ar-SA"/>
        </w:rPr>
        <w:t>验收标准</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1）验收依据包括但不限于：采购文件、投标（响应）文件、承诺约定、合同及附件</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eastAsia="zh-CN" w:bidi="ar-SA"/>
        </w:rPr>
        <w:t>5、</w:t>
      </w:r>
      <w:r>
        <w:rPr>
          <w:rFonts w:hint="eastAsia" w:ascii="仿宋" w:hAnsi="仿宋" w:eastAsia="仿宋" w:cs="仿宋"/>
          <w:b w:val="0"/>
          <w:bCs w:val="0"/>
          <w:color w:val="auto"/>
          <w:sz w:val="28"/>
          <w:szCs w:val="28"/>
          <w:highlight w:val="none"/>
          <w:lang w:val="en-US" w:bidi="ar-SA"/>
        </w:rPr>
        <w:t>验收方式</w:t>
      </w:r>
    </w:p>
    <w:p>
      <w:pPr>
        <w:keepNext w:val="0"/>
        <w:keepLines w:val="0"/>
        <w:pageBreakBefore w:val="0"/>
        <w:widowControl w:val="0"/>
        <w:kinsoku/>
        <w:wordWrap w:val="0"/>
        <w:overflowPunct/>
        <w:topLinePunct w:val="0"/>
        <w:autoSpaceDE/>
        <w:autoSpaceDN/>
        <w:bidi w:val="0"/>
        <w:adjustRightInd w:val="0"/>
        <w:snapToGrid w:val="0"/>
        <w:spacing w:before="0" w:after="0" w:line="500" w:lineRule="exact"/>
        <w:ind w:left="0" w:right="0" w:firstLine="560" w:firstLineChars="200"/>
        <w:jc w:val="both"/>
        <w:textAlignment w:val="auto"/>
        <w:outlineLvl w:val="9"/>
        <w:rPr>
          <w:rFonts w:hint="eastAsia" w:ascii="仿宋" w:hAnsi="仿宋" w:eastAsia="仿宋" w:cs="仿宋"/>
          <w:b w:val="0"/>
          <w:bCs w:val="0"/>
          <w:color w:val="auto"/>
          <w:sz w:val="28"/>
          <w:szCs w:val="28"/>
          <w:highlight w:val="none"/>
          <w:lang w:val="en-US" w:bidi="ar-SA"/>
        </w:rPr>
      </w:pPr>
      <w:r>
        <w:rPr>
          <w:rFonts w:hint="eastAsia" w:ascii="仿宋" w:hAnsi="仿宋" w:eastAsia="仿宋" w:cs="仿宋"/>
          <w:b w:val="0"/>
          <w:bCs w:val="0"/>
          <w:color w:val="auto"/>
          <w:sz w:val="28"/>
          <w:szCs w:val="28"/>
          <w:highlight w:val="none"/>
          <w:lang w:val="en-US" w:bidi="ar-SA"/>
        </w:rPr>
        <w:t>1）由采购人编写验收资料，自供应商提出验收之日起30日内组织相关部门与供应商共同验收。</w:t>
      </w:r>
    </w:p>
    <w:p>
      <w:pPr>
        <w:wordWrap w:val="0"/>
        <w:autoSpaceDE/>
        <w:autoSpaceDN/>
        <w:snapToGrid w:val="0"/>
        <w:spacing w:before="0" w:after="0" w:line="500" w:lineRule="exact"/>
        <w:ind w:left="0" w:right="0"/>
        <w:jc w:val="both"/>
        <w:outlineLvl w:val="2"/>
        <w:rPr>
          <w:rFonts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bidi="ar-SA"/>
        </w:rPr>
        <w:t>注意：</w:t>
      </w:r>
    </w:p>
    <w:p>
      <w:pPr>
        <w:wordWrap w:val="0"/>
        <w:autoSpaceDE/>
        <w:autoSpaceDN/>
        <w:snapToGrid w:val="0"/>
        <w:spacing w:before="0" w:after="0" w:line="500" w:lineRule="exact"/>
        <w:ind w:left="0" w:right="0" w:firstLine="482" w:firstLineChars="200"/>
        <w:jc w:val="both"/>
        <w:rPr>
          <w:rFonts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bidi="ar-SA"/>
        </w:rPr>
        <w:t>1、本章技术参数中有明确的证明材料要求的应提供对应证明材料，否则视为负偏离。</w:t>
      </w:r>
    </w:p>
    <w:p>
      <w:pPr>
        <w:wordWrap w:val="0"/>
        <w:autoSpaceDE/>
        <w:autoSpaceDN/>
        <w:snapToGrid w:val="0"/>
        <w:spacing w:before="0" w:after="0" w:line="500" w:lineRule="exact"/>
        <w:ind w:left="0" w:right="0" w:firstLine="482" w:firstLineChars="200"/>
        <w:jc w:val="both"/>
        <w:rPr>
          <w:rFonts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bidi="ar-SA"/>
        </w:rPr>
        <w:t>2、本章标注“★”的内容为本次招标项目的实质性要求，不允许有负偏离。</w:t>
      </w:r>
    </w:p>
    <w:p>
      <w:pPr>
        <w:wordWrap w:val="0"/>
        <w:autoSpaceDE/>
        <w:autoSpaceDN/>
        <w:snapToGrid w:val="0"/>
        <w:spacing w:before="0" w:after="0" w:line="500" w:lineRule="exact"/>
        <w:ind w:left="0" w:right="0" w:firstLine="482" w:firstLineChars="200"/>
        <w:jc w:val="both"/>
        <w:rPr>
          <w:rFonts w:hint="eastAsia"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eastAsia="zh-CN" w:bidi="ar-SA"/>
        </w:rPr>
        <w:t>3</w:t>
      </w:r>
      <w:r>
        <w:rPr>
          <w:rFonts w:hint="eastAsia" w:ascii="仿宋" w:hAnsi="仿宋" w:eastAsia="仿宋" w:cs="仿宋"/>
          <w:b/>
          <w:bCs/>
          <w:color w:val="auto"/>
          <w:sz w:val="24"/>
          <w:szCs w:val="24"/>
          <w:highlight w:val="none"/>
          <w:lang w:val="en-US" w:bidi="ar-SA"/>
        </w:rPr>
        <w:t>、若技术要求中指定或变相指定品牌、型号、产地等均不作为招标要求。投标人所投产品技术不低于所列品牌型号即可。</w:t>
      </w:r>
    </w:p>
    <w:p>
      <w:pPr>
        <w:spacing w:line="500" w:lineRule="exact"/>
        <w:ind w:firstLine="482" w:firstLineChars="200"/>
        <w:rPr>
          <w:rFonts w:hint="eastAsia" w:ascii="仿宋" w:hAnsi="仿宋" w:eastAsia="仿宋" w:cs="仿宋"/>
          <w:b/>
          <w:bCs/>
          <w:color w:val="auto"/>
          <w:sz w:val="24"/>
          <w:szCs w:val="24"/>
          <w:highlight w:val="none"/>
          <w:lang w:val="en-US" w:bidi="ar-SA"/>
        </w:rPr>
      </w:pPr>
      <w:r>
        <w:rPr>
          <w:rFonts w:hint="eastAsia" w:ascii="仿宋" w:hAnsi="仿宋" w:eastAsia="仿宋" w:cs="仿宋"/>
          <w:b/>
          <w:bCs/>
          <w:color w:val="auto"/>
          <w:sz w:val="24"/>
          <w:szCs w:val="24"/>
          <w:highlight w:val="none"/>
          <w:lang w:val="en-US" w:eastAsia="zh-CN" w:bidi="ar-SA"/>
        </w:rPr>
        <w:t>4</w:t>
      </w:r>
      <w:r>
        <w:rPr>
          <w:rFonts w:hint="eastAsia" w:ascii="仿宋" w:hAnsi="仿宋" w:eastAsia="仿宋" w:cs="仿宋"/>
          <w:b/>
          <w:bCs/>
          <w:color w:val="auto"/>
          <w:sz w:val="24"/>
          <w:szCs w:val="24"/>
          <w:highlight w:val="none"/>
          <w:lang w:val="en-US" w:bidi="ar-SA"/>
        </w:rPr>
        <w:t>、请各投标人根据招标文件采购需求及合同参考模板将采购合同拟定在投标文件中。</w:t>
      </w:r>
    </w:p>
    <w:p>
      <w:pPr>
        <w:spacing w:line="500" w:lineRule="exact"/>
        <w:ind w:firstLine="482" w:firstLineChars="200"/>
        <w:rPr>
          <w:rFonts w:hint="eastAsia" w:ascii="仿宋" w:hAnsi="仿宋" w:eastAsia="仿宋" w:cs="仿宋"/>
          <w:b/>
          <w:bCs/>
          <w:color w:val="auto"/>
          <w:sz w:val="24"/>
          <w:szCs w:val="24"/>
          <w:highlight w:val="none"/>
          <w:lang w:val="en-US" w:eastAsia="zh-CN" w:bidi="ar-SA"/>
        </w:rPr>
      </w:pPr>
      <w:r>
        <w:rPr>
          <w:rFonts w:hint="eastAsia" w:ascii="仿宋" w:hAnsi="仿宋" w:eastAsia="仿宋" w:cs="仿宋"/>
          <w:b/>
          <w:bCs/>
          <w:color w:val="auto"/>
          <w:sz w:val="24"/>
          <w:szCs w:val="24"/>
          <w:highlight w:val="none"/>
          <w:lang w:val="en-US" w:eastAsia="zh-CN" w:bidi="ar-SA"/>
        </w:rPr>
        <w:t>附件：</w:t>
      </w:r>
    </w:p>
    <w:tbl>
      <w:tblPr>
        <w:tblStyle w:val="2"/>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8"/>
        <w:gridCol w:w="6211"/>
        <w:gridCol w:w="1121"/>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noWrap w:val="0"/>
            <w:vAlign w:val="center"/>
          </w:tcPr>
          <w:p>
            <w:pPr>
              <w:spacing w:line="240" w:lineRule="auto"/>
              <w:ind w:firstLine="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bidi="ar-SA"/>
              </w:rPr>
              <w:br w:type="page"/>
            </w:r>
            <w:r>
              <w:rPr>
                <w:rFonts w:hint="eastAsia" w:ascii="仿宋" w:hAnsi="仿宋" w:eastAsia="仿宋" w:cs="仿宋"/>
                <w:b/>
                <w:bCs/>
                <w:color w:val="auto"/>
                <w:spacing w:val="2"/>
                <w:sz w:val="24"/>
                <w:szCs w:val="24"/>
                <w:highlight w:val="none"/>
              </w:rPr>
              <w:t>项目</w:t>
            </w:r>
          </w:p>
        </w:tc>
        <w:tc>
          <w:tcPr>
            <w:tcW w:w="3181" w:type="pct"/>
            <w:noWrap w:val="0"/>
            <w:vAlign w:val="center"/>
          </w:tcPr>
          <w:p>
            <w:pPr>
              <w:widowControl w:val="0"/>
              <w:spacing w:before="97" w:line="240" w:lineRule="auto"/>
              <w:ind w:left="1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pacing w:val="2"/>
                <w:sz w:val="24"/>
                <w:szCs w:val="24"/>
                <w:highlight w:val="none"/>
                <w:lang w:val="zh-CN" w:eastAsia="zh-CN" w:bidi="zh-CN"/>
              </w:rPr>
              <w:t>考核标准</w:t>
            </w:r>
          </w:p>
        </w:tc>
        <w:tc>
          <w:tcPr>
            <w:tcW w:w="574" w:type="pct"/>
            <w:noWrap w:val="0"/>
            <w:vAlign w:val="center"/>
          </w:tcPr>
          <w:p>
            <w:pPr>
              <w:spacing w:line="24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考核结果</w:t>
            </w:r>
          </w:p>
        </w:tc>
        <w:tc>
          <w:tcPr>
            <w:tcW w:w="706" w:type="pct"/>
            <w:noWrap w:val="0"/>
            <w:vAlign w:val="center"/>
          </w:tcPr>
          <w:p>
            <w:pPr>
              <w:widowControl w:val="0"/>
              <w:spacing w:before="97" w:line="240" w:lineRule="auto"/>
              <w:ind w:left="1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restart"/>
            <w:noWrap w:val="0"/>
            <w:vAlign w:val="center"/>
          </w:tcPr>
          <w:p>
            <w:pPr>
              <w:widowControl w:val="0"/>
              <w:spacing w:before="7" w:line="240" w:lineRule="auto"/>
              <w:ind w:left="13"/>
              <w:jc w:val="center"/>
              <w:rPr>
                <w:rFonts w:hint="eastAsia" w:ascii="仿宋" w:hAnsi="仿宋" w:eastAsia="仿宋" w:cs="仿宋"/>
                <w:b/>
                <w:bCs/>
                <w:color w:val="auto"/>
                <w:sz w:val="24"/>
                <w:szCs w:val="24"/>
                <w:highlight w:val="none"/>
                <w:lang w:val="zh-CN" w:eastAsia="zh-CN" w:bidi="zh-CN"/>
              </w:rPr>
            </w:pPr>
          </w:p>
          <w:p>
            <w:pPr>
              <w:widowControl w:val="0"/>
              <w:spacing w:before="97" w:line="240" w:lineRule="auto"/>
              <w:ind w:left="8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基</w:t>
            </w:r>
          </w:p>
          <w:p>
            <w:pPr>
              <w:widowControl w:val="0"/>
              <w:spacing w:before="97" w:line="240" w:lineRule="auto"/>
              <w:ind w:left="8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础</w:t>
            </w:r>
          </w:p>
          <w:p>
            <w:pPr>
              <w:widowControl w:val="0"/>
              <w:spacing w:before="97" w:line="240" w:lineRule="auto"/>
              <w:ind w:left="8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要</w:t>
            </w:r>
          </w:p>
          <w:p>
            <w:pPr>
              <w:widowControl w:val="0"/>
              <w:spacing w:before="97" w:line="240" w:lineRule="auto"/>
              <w:ind w:left="83"/>
              <w:jc w:val="center"/>
              <w:rPr>
                <w:rFonts w:hint="eastAsia" w:ascii="仿宋" w:hAnsi="仿宋" w:eastAsia="仿宋" w:cs="仿宋"/>
                <w:b/>
                <w:bCs/>
                <w:color w:val="auto"/>
                <w:sz w:val="24"/>
                <w:szCs w:val="24"/>
                <w:highlight w:val="none"/>
                <w:lang w:val="zh-CN" w:eastAsia="zh-CN" w:bidi="zh-CN"/>
              </w:rPr>
            </w:pPr>
            <w:r>
              <w:rPr>
                <w:rFonts w:hint="eastAsia" w:ascii="仿宋" w:hAnsi="仿宋" w:eastAsia="仿宋" w:cs="仿宋"/>
                <w:b/>
                <w:bCs/>
                <w:color w:val="auto"/>
                <w:sz w:val="24"/>
                <w:szCs w:val="24"/>
                <w:highlight w:val="none"/>
                <w:lang w:val="zh-CN" w:eastAsia="zh-CN" w:bidi="zh-CN"/>
              </w:rPr>
              <w:t>求</w:t>
            </w: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仪表不整洁，上班不着装，不佩戴工作牌，不文明语言、行为，在院内吸烟、喝酒等。（先予以提醒，拒不配合的每次扣20元）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出现与医护人员、患者纠纷。（先予以提醒，拒不配合的每次扣20元）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不爱护公共设施。（先予以提醒，拒不配合的每次扣20元，若造成设施损坏的，照价赔偿）</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keepNext/>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能配备不少于2名</w:t>
            </w:r>
            <w:r>
              <w:rPr>
                <w:rFonts w:hint="eastAsia" w:ascii="仿宋" w:hAnsi="仿宋" w:eastAsia="仿宋" w:cs="仿宋"/>
                <w:color w:val="auto"/>
                <w:sz w:val="24"/>
                <w:szCs w:val="24"/>
                <w:highlight w:val="none"/>
                <w:lang w:val="en-US" w:eastAsia="zh-CN"/>
              </w:rPr>
              <w:t>有限空间作业人员和1名污水处理工程师</w:t>
            </w:r>
            <w:r>
              <w:rPr>
                <w:rFonts w:hint="eastAsia" w:ascii="仿宋" w:hAnsi="仿宋" w:eastAsia="仿宋" w:cs="仿宋"/>
                <w:color w:val="auto"/>
                <w:sz w:val="24"/>
                <w:szCs w:val="24"/>
                <w:highlight w:val="none"/>
              </w:rPr>
              <w:t>专职人员，</w:t>
            </w:r>
            <w:r>
              <w:rPr>
                <w:rFonts w:hint="eastAsia" w:ascii="仿宋" w:hAnsi="仿宋" w:eastAsia="仿宋" w:cs="仿宋"/>
                <w:color w:val="auto"/>
                <w:sz w:val="24"/>
                <w:szCs w:val="24"/>
                <w:highlight w:val="none"/>
                <w:lang w:val="en-US" w:eastAsia="zh-CN"/>
              </w:rPr>
              <w:t>负责现场施工及管理</w:t>
            </w:r>
            <w:r>
              <w:rPr>
                <w:rFonts w:hint="eastAsia" w:ascii="仿宋" w:hAnsi="仿宋" w:eastAsia="仿宋" w:cs="仿宋"/>
                <w:color w:val="auto"/>
                <w:sz w:val="24"/>
                <w:szCs w:val="24"/>
                <w:highlight w:val="none"/>
              </w:rPr>
              <w:t>。着装统一，佩戴防护手套和口罩。（先予以提醒，拒不配合的每次扣20元）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投标人自备称重和院内转运工具。（先予以提醒，拒不配合的每次扣50元）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restart"/>
            <w:noWrap w:val="0"/>
            <w:vAlign w:val="center"/>
          </w:tcPr>
          <w:p>
            <w:pPr>
              <w:spacing w:line="240" w:lineRule="auto"/>
              <w:jc w:val="center"/>
              <w:rPr>
                <w:rFonts w:hint="eastAsia" w:ascii="仿宋" w:hAnsi="仿宋" w:eastAsia="仿宋" w:cs="仿宋"/>
                <w:b/>
                <w:bCs/>
                <w:color w:val="auto"/>
                <w:sz w:val="24"/>
                <w:szCs w:val="24"/>
                <w:highlight w:val="none"/>
              </w:rPr>
            </w:pPr>
          </w:p>
          <w:p>
            <w:pPr>
              <w:widowControl w:val="0"/>
              <w:spacing w:after="120" w:line="24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服</w:t>
            </w:r>
          </w:p>
          <w:p>
            <w:pPr>
              <w:widowControl w:val="0"/>
              <w:spacing w:after="120" w:line="24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务</w:t>
            </w:r>
          </w:p>
          <w:p>
            <w:pPr>
              <w:widowControl w:val="0"/>
              <w:spacing w:after="120" w:line="240" w:lineRule="auto"/>
              <w:jc w:val="center"/>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内</w:t>
            </w:r>
          </w:p>
          <w:p>
            <w:pPr>
              <w:spacing w:line="240" w:lineRule="auto"/>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kern w:val="2"/>
                <w:sz w:val="24"/>
                <w:szCs w:val="24"/>
                <w:highlight w:val="none"/>
                <w:lang w:val="en-US" w:eastAsia="zh-CN" w:bidi="ar-SA"/>
              </w:rPr>
              <w:t>容</w:t>
            </w:r>
          </w:p>
        </w:tc>
        <w:tc>
          <w:tcPr>
            <w:tcW w:w="3181" w:type="pct"/>
            <w:noWrap w:val="0"/>
            <w:vAlign w:val="top"/>
          </w:tcPr>
          <w:p>
            <w:pPr>
              <w:keepNext/>
              <w:topLinePunct/>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对院区内的化学性</w:t>
            </w:r>
            <w:r>
              <w:rPr>
                <w:rFonts w:hint="eastAsia" w:ascii="仿宋" w:hAnsi="仿宋" w:eastAsia="仿宋" w:cs="仿宋"/>
                <w:color w:val="auto"/>
                <w:sz w:val="24"/>
                <w:szCs w:val="24"/>
                <w:highlight w:val="none"/>
                <w:lang w:val="en-US" w:eastAsia="zh-CN"/>
              </w:rPr>
              <w:t>废物、活性炭、过期化学品等危废</w:t>
            </w:r>
            <w:r>
              <w:rPr>
                <w:rFonts w:hint="eastAsia" w:ascii="仿宋" w:hAnsi="仿宋" w:eastAsia="仿宋" w:cs="仿宋"/>
                <w:color w:val="auto"/>
                <w:sz w:val="24"/>
                <w:szCs w:val="24"/>
                <w:highlight w:val="none"/>
              </w:rPr>
              <w:t>进行转运、处置（上级部门另有安排的如涉疫情医废不包含在内），并填写转移联单，资料保存3年。同时须完成危险废物转移、处置等相关手续申报。</w:t>
            </w:r>
          </w:p>
          <w:p>
            <w:pPr>
              <w:keepNext/>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（未按要求执行，先予以提醒，拒不配合的每次扣100元）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widowControl w:val="0"/>
              <w:spacing w:before="97" w:line="240" w:lineRule="auto"/>
              <w:ind w:left="260"/>
              <w:jc w:val="both"/>
              <w:rPr>
                <w:rFonts w:hint="eastAsia" w:ascii="仿宋" w:hAnsi="仿宋" w:eastAsia="仿宋" w:cs="仿宋"/>
                <w:b/>
                <w:bCs/>
                <w:color w:val="auto"/>
                <w:sz w:val="24"/>
                <w:szCs w:val="24"/>
                <w:highlight w:val="none"/>
                <w:lang w:val="zh-CN" w:eastAsia="zh-CN" w:bidi="zh-CN"/>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必须沿院方指定的地下负一层污物通道转运（未按要求执行，先予以提醒，拒不配合的每次扣100元）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每</w:t>
            </w:r>
            <w:r>
              <w:rPr>
                <w:rFonts w:hint="eastAsia" w:ascii="仿宋" w:hAnsi="仿宋" w:eastAsia="仿宋" w:cs="仿宋"/>
                <w:color w:val="auto"/>
                <w:sz w:val="24"/>
                <w:szCs w:val="24"/>
                <w:highlight w:val="none"/>
                <w:lang w:val="en-US" w:eastAsia="zh-CN" w:bidi="zh-CN"/>
              </w:rPr>
              <w:t>次施工安排，</w:t>
            </w:r>
            <w:r>
              <w:rPr>
                <w:rFonts w:hint="eastAsia" w:ascii="仿宋" w:hAnsi="仿宋" w:eastAsia="仿宋" w:cs="仿宋"/>
                <w:color w:val="auto"/>
                <w:sz w:val="24"/>
                <w:szCs w:val="24"/>
                <w:highlight w:val="none"/>
                <w:lang w:val="zh-CN" w:eastAsia="zh-CN" w:bidi="zh-CN"/>
              </w:rPr>
              <w:t>医院不定期通知，投标人必须</w:t>
            </w:r>
            <w:r>
              <w:rPr>
                <w:rFonts w:hint="eastAsia" w:ascii="仿宋" w:hAnsi="仿宋" w:eastAsia="仿宋" w:cs="仿宋"/>
                <w:color w:val="auto"/>
                <w:sz w:val="24"/>
                <w:szCs w:val="24"/>
                <w:highlight w:val="none"/>
                <w:lang w:val="en-US" w:eastAsia="zh-CN" w:bidi="zh-CN"/>
              </w:rPr>
              <w:t>2</w:t>
            </w:r>
            <w:r>
              <w:rPr>
                <w:rFonts w:hint="eastAsia" w:ascii="仿宋" w:hAnsi="仿宋" w:eastAsia="仿宋" w:cs="仿宋"/>
                <w:color w:val="auto"/>
                <w:sz w:val="24"/>
                <w:szCs w:val="24"/>
                <w:highlight w:val="none"/>
                <w:lang w:val="zh-CN" w:eastAsia="zh-CN" w:bidi="zh-CN"/>
              </w:rPr>
              <w:t>小时内响应，2周内完成转运。转运时必须沿医院指定的路线进行转运（若有特殊情况，在不超出限定时间的前提下，可与院方协商处理，拒不配合的每次扣1000元）</w:t>
            </w:r>
          </w:p>
        </w:tc>
        <w:tc>
          <w:tcPr>
            <w:tcW w:w="574" w:type="pct"/>
            <w:noWrap w:val="0"/>
            <w:vAlign w:val="center"/>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jc w:val="center"/>
              <w:rPr>
                <w:rFonts w:hint="eastAsia" w:ascii="仿宋" w:hAnsi="仿宋" w:eastAsia="仿宋" w:cs="仿宋"/>
                <w:b/>
                <w:bCs/>
                <w:color w:val="auto"/>
                <w:sz w:val="24"/>
                <w:szCs w:val="24"/>
                <w:highlight w:val="none"/>
              </w:rPr>
            </w:pPr>
          </w:p>
        </w:tc>
        <w:tc>
          <w:tcPr>
            <w:tcW w:w="3181" w:type="pct"/>
            <w:noWrap w:val="0"/>
            <w:vAlign w:val="top"/>
          </w:tcPr>
          <w:p>
            <w:pPr>
              <w:keepNext/>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转运完成后的地面卫生由</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负责清洁打扫。（未按要求执行，先予以提醒，拒不配合的每次扣100元）</w:t>
            </w:r>
          </w:p>
        </w:tc>
        <w:tc>
          <w:tcPr>
            <w:tcW w:w="574" w:type="pct"/>
            <w:noWrap w:val="0"/>
            <w:vAlign w:val="top"/>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能保证医疗</w:t>
            </w:r>
            <w:r>
              <w:rPr>
                <w:rFonts w:hint="eastAsia" w:ascii="仿宋" w:hAnsi="仿宋" w:eastAsia="仿宋" w:cs="仿宋"/>
                <w:color w:val="auto"/>
                <w:sz w:val="24"/>
                <w:szCs w:val="24"/>
                <w:highlight w:val="none"/>
                <w:lang w:val="en-US" w:eastAsia="zh-CN" w:bidi="zh-CN"/>
              </w:rPr>
              <w:t>危险</w:t>
            </w:r>
            <w:r>
              <w:rPr>
                <w:rFonts w:hint="eastAsia" w:ascii="仿宋" w:hAnsi="仿宋" w:eastAsia="仿宋" w:cs="仿宋"/>
                <w:color w:val="auto"/>
                <w:sz w:val="24"/>
                <w:szCs w:val="24"/>
                <w:highlight w:val="none"/>
                <w:lang w:val="zh-CN" w:eastAsia="zh-CN" w:bidi="zh-CN"/>
              </w:rPr>
              <w:t>废物密封转运，医疗</w:t>
            </w:r>
            <w:r>
              <w:rPr>
                <w:rFonts w:hint="eastAsia" w:ascii="仿宋" w:hAnsi="仿宋" w:eastAsia="仿宋" w:cs="仿宋"/>
                <w:color w:val="auto"/>
                <w:sz w:val="24"/>
                <w:szCs w:val="24"/>
                <w:highlight w:val="none"/>
                <w:lang w:val="en-US" w:eastAsia="zh-CN" w:bidi="zh-CN"/>
              </w:rPr>
              <w:t>危险</w:t>
            </w:r>
            <w:r>
              <w:rPr>
                <w:rFonts w:hint="eastAsia" w:ascii="仿宋" w:hAnsi="仿宋" w:eastAsia="仿宋" w:cs="仿宋"/>
                <w:color w:val="auto"/>
                <w:sz w:val="24"/>
                <w:szCs w:val="24"/>
                <w:highlight w:val="none"/>
                <w:lang w:val="zh-CN" w:eastAsia="zh-CN" w:bidi="zh-CN"/>
              </w:rPr>
              <w:t>废物若洒落地面必须及时清洁并按规范进行处理。因泄露的医疗危险废物造成</w:t>
            </w:r>
            <w:r>
              <w:rPr>
                <w:rFonts w:hint="eastAsia" w:ascii="仿宋" w:hAnsi="仿宋" w:eastAsia="仿宋" w:cs="仿宋"/>
                <w:b w:val="0"/>
                <w:bCs/>
                <w:color w:val="auto"/>
                <w:sz w:val="24"/>
                <w:szCs w:val="24"/>
                <w:highlight w:val="none"/>
                <w:lang w:val="en-US" w:eastAsia="zh-CN" w:bidi="ar-SA"/>
              </w:rPr>
              <w:t>环境污染和人员伤亡以及转运车辆发生交通事故等，</w:t>
            </w:r>
            <w:r>
              <w:rPr>
                <w:rFonts w:hint="eastAsia" w:ascii="仿宋" w:hAnsi="仿宋" w:eastAsia="仿宋" w:cs="仿宋"/>
                <w:color w:val="auto"/>
                <w:sz w:val="24"/>
                <w:szCs w:val="24"/>
                <w:highlight w:val="none"/>
                <w:lang w:val="zh-CN" w:eastAsia="zh-CN" w:bidi="zh-CN"/>
              </w:rPr>
              <w:t>由投标人承担全部责任。（未按要求执行，先予以提醒，拒不配合的每次扣100元，由此产生的经济损失和法律责任等一切责任，全部由投标人承担）</w:t>
            </w:r>
          </w:p>
        </w:tc>
        <w:tc>
          <w:tcPr>
            <w:tcW w:w="574" w:type="pct"/>
            <w:noWrap w:val="0"/>
            <w:vAlign w:val="top"/>
          </w:tcPr>
          <w:p>
            <w:pPr>
              <w:spacing w:line="240" w:lineRule="auto"/>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keepNext/>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转运出医院的医疗</w:t>
            </w:r>
            <w:r>
              <w:rPr>
                <w:rFonts w:hint="eastAsia" w:ascii="仿宋" w:hAnsi="仿宋" w:eastAsia="仿宋" w:cs="仿宋"/>
                <w:color w:val="auto"/>
                <w:sz w:val="24"/>
                <w:szCs w:val="24"/>
                <w:highlight w:val="none"/>
                <w:lang w:val="en-US" w:eastAsia="zh-CN"/>
              </w:rPr>
              <w:t>危险</w:t>
            </w:r>
            <w:r>
              <w:rPr>
                <w:rFonts w:hint="eastAsia" w:ascii="仿宋" w:hAnsi="仿宋" w:eastAsia="仿宋" w:cs="仿宋"/>
                <w:color w:val="auto"/>
                <w:sz w:val="24"/>
                <w:szCs w:val="24"/>
                <w:highlight w:val="none"/>
              </w:rPr>
              <w:t>废物由处置公司按照符合国家环保要求的方式进行处置。（未按要求执行，先予以提醒，拒不配合的每次扣100元）</w:t>
            </w:r>
          </w:p>
        </w:tc>
        <w:tc>
          <w:tcPr>
            <w:tcW w:w="574" w:type="pct"/>
            <w:noWrap w:val="0"/>
            <w:vAlign w:val="top"/>
          </w:tcPr>
          <w:p>
            <w:pPr>
              <w:spacing w:line="240" w:lineRule="auto"/>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37" w:type="pct"/>
            <w:vMerge w:val="continue"/>
            <w:noWrap w:val="0"/>
            <w:vAlign w:val="top"/>
          </w:tcPr>
          <w:p>
            <w:pPr>
              <w:spacing w:line="240" w:lineRule="auto"/>
              <w:rPr>
                <w:rFonts w:hint="eastAsia" w:ascii="仿宋" w:hAnsi="仿宋" w:eastAsia="仿宋" w:cs="仿宋"/>
                <w:b/>
                <w:bCs/>
                <w:color w:val="auto"/>
                <w:sz w:val="24"/>
                <w:szCs w:val="24"/>
                <w:highlight w:val="none"/>
              </w:rPr>
            </w:pPr>
          </w:p>
        </w:tc>
        <w:tc>
          <w:tcPr>
            <w:tcW w:w="3181" w:type="pct"/>
            <w:noWrap w:val="0"/>
            <w:vAlign w:val="top"/>
          </w:tcPr>
          <w:p>
            <w:pPr>
              <w:widowControl w:val="0"/>
              <w:spacing w:before="97" w:line="240" w:lineRule="auto"/>
              <w:ind w:left="13"/>
              <w:jc w:val="both"/>
              <w:rPr>
                <w:rFonts w:hint="eastAsia" w:ascii="仿宋" w:hAnsi="仿宋" w:eastAsia="仿宋" w:cs="仿宋"/>
                <w:color w:val="auto"/>
                <w:sz w:val="24"/>
                <w:szCs w:val="24"/>
                <w:highlight w:val="none"/>
                <w:lang w:val="zh-CN" w:eastAsia="zh-CN" w:bidi="zh-CN"/>
              </w:rPr>
            </w:pPr>
            <w:r>
              <w:rPr>
                <w:rFonts w:hint="eastAsia" w:ascii="仿宋" w:hAnsi="仿宋" w:eastAsia="仿宋" w:cs="仿宋"/>
                <w:color w:val="auto"/>
                <w:sz w:val="24"/>
                <w:szCs w:val="24"/>
                <w:highlight w:val="none"/>
                <w:lang w:val="zh-CN" w:eastAsia="zh-CN" w:bidi="zh-CN"/>
              </w:rPr>
              <w:t>法定节假日能保证服务正常进行。（未按要求执行，先予以提醒，拒不配合的每次扣100元）</w:t>
            </w:r>
          </w:p>
        </w:tc>
        <w:tc>
          <w:tcPr>
            <w:tcW w:w="574" w:type="pct"/>
            <w:noWrap w:val="0"/>
            <w:vAlign w:val="top"/>
          </w:tcPr>
          <w:p>
            <w:pPr>
              <w:spacing w:line="240" w:lineRule="auto"/>
              <w:jc w:val="center"/>
              <w:rPr>
                <w:rFonts w:hint="eastAsia" w:ascii="仿宋" w:hAnsi="仿宋" w:eastAsia="仿宋" w:cs="仿宋"/>
                <w:color w:val="auto"/>
                <w:sz w:val="24"/>
                <w:szCs w:val="24"/>
                <w:highlight w:val="none"/>
              </w:rPr>
            </w:pPr>
          </w:p>
        </w:tc>
        <w:tc>
          <w:tcPr>
            <w:tcW w:w="706" w:type="pct"/>
            <w:noWrap w:val="0"/>
            <w:vAlign w:val="top"/>
          </w:tcPr>
          <w:p>
            <w:pPr>
              <w:spacing w:line="240" w:lineRule="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000" w:type="pct"/>
            <w:gridSpan w:val="4"/>
            <w:noWrap w:val="0"/>
            <w:vAlign w:val="center"/>
          </w:tcPr>
          <w:p>
            <w:pPr>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考核者签名：</w:t>
            </w:r>
          </w:p>
          <w:p>
            <w:pPr>
              <w:widowControl w:val="0"/>
              <w:spacing w:after="120" w:line="240" w:lineRule="auto"/>
              <w:jc w:val="left"/>
              <w:rPr>
                <w:rFonts w:hint="eastAsia" w:ascii="仿宋" w:hAnsi="仿宋" w:eastAsia="仿宋" w:cs="仿宋"/>
                <w:color w:val="auto"/>
                <w:kern w:val="2"/>
                <w:sz w:val="24"/>
                <w:szCs w:val="24"/>
                <w:highlight w:val="none"/>
                <w:lang w:val="en-US" w:eastAsia="zh-CN" w:bidi="ar-SA"/>
              </w:rPr>
            </w:pP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MjcwYzMzYTk3ODdhZjIxNDJhMTdjMzNjOGNkZjEifQ=="/>
  </w:docVars>
  <w:rsids>
    <w:rsidRoot w:val="00000000"/>
    <w:rsid w:val="4D0B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sz w:val="3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2024-04-24T07:16:36Z</dcterms:created>
  <dc:creator>admin</dc:creator>
  <cp:lastModifiedBy>ZYZB</cp:lastModifiedBy>
  <dcterms:modified xsi:type="dcterms:W3CDTF">2024-04-24T07:18:13Z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74727897A1D24EDE828BB6EC5B1A6ACA_12</vt:lpwstr>
  </property>
</Properties>
</file>